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322" w:tblpY="2673"/>
        <w:tblOverlap w:val="never"/>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1"/>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trPr>
        <w:tc>
          <w:tcPr>
            <w:tcW w:w="8011" w:type="dxa"/>
            <w:tcBorders>
              <w:top w:val="nil"/>
              <w:left w:val="nil"/>
              <w:bottom w:val="nil"/>
              <w:right w:val="nil"/>
            </w:tcBorders>
            <w:vAlign w:val="center"/>
          </w:tcPr>
          <w:p>
            <w:pPr>
              <w:ind w:firstLine="512" w:firstLineChars="98"/>
              <w:jc w:val="distribute"/>
              <w:rPr>
                <w:rFonts w:ascii="宋体" w:hAnsi="宋体"/>
                <w:b/>
                <w:color w:val="FF0000"/>
                <w:sz w:val="52"/>
                <w:szCs w:val="52"/>
              </w:rPr>
            </w:pPr>
            <w:r>
              <w:rPr>
                <w:rFonts w:hint="eastAsia" w:ascii="宋体" w:hAnsi="宋体"/>
                <w:b/>
                <w:color w:val="FF0000"/>
                <w:sz w:val="52"/>
                <w:szCs w:val="52"/>
              </w:rPr>
              <w:t>慈溪市医疗保障局</w:t>
            </w:r>
          </w:p>
          <w:p>
            <w:pPr>
              <w:ind w:firstLine="512" w:firstLineChars="98"/>
              <w:jc w:val="distribute"/>
              <w:rPr>
                <w:rFonts w:ascii="宋体" w:hAnsi="宋体"/>
                <w:b/>
                <w:color w:val="FF0000"/>
                <w:sz w:val="52"/>
                <w:szCs w:val="52"/>
              </w:rPr>
            </w:pPr>
            <w:r>
              <w:rPr>
                <w:rFonts w:hint="eastAsia" w:ascii="宋体" w:hAnsi="宋体"/>
                <w:b/>
                <w:color w:val="FF0000"/>
                <w:sz w:val="52"/>
                <w:szCs w:val="52"/>
              </w:rPr>
              <w:t>慈溪市卫生健康局</w:t>
            </w:r>
          </w:p>
          <w:p>
            <w:pPr>
              <w:ind w:firstLine="512" w:firstLineChars="98"/>
              <w:jc w:val="distribute"/>
              <w:rPr>
                <w:rFonts w:hint="eastAsia" w:ascii="宋体" w:hAnsi="宋体" w:eastAsia="宋体"/>
                <w:b/>
                <w:color w:val="FF0000"/>
                <w:sz w:val="52"/>
                <w:szCs w:val="52"/>
                <w:lang w:eastAsia="zh-CN"/>
              </w:rPr>
            </w:pPr>
            <w:r>
              <w:rPr>
                <w:rFonts w:hint="eastAsia" w:ascii="宋体" w:hAnsi="宋体"/>
                <w:b/>
                <w:color w:val="FF0000"/>
                <w:sz w:val="52"/>
                <w:szCs w:val="52"/>
                <w:lang w:eastAsia="zh-CN"/>
              </w:rPr>
              <w:t>慈溪市财政局</w:t>
            </w:r>
          </w:p>
          <w:p>
            <w:pPr>
              <w:ind w:firstLine="512" w:firstLineChars="98"/>
              <w:jc w:val="distribute"/>
              <w:rPr>
                <w:rFonts w:hint="eastAsia" w:ascii="宋体" w:hAnsi="宋体" w:eastAsia="宋体"/>
                <w:b/>
                <w:color w:val="FF0000"/>
                <w:sz w:val="52"/>
                <w:szCs w:val="52"/>
                <w:lang w:eastAsia="zh-CN"/>
              </w:rPr>
            </w:pPr>
            <w:r>
              <w:rPr>
                <w:rFonts w:hint="eastAsia" w:ascii="宋体" w:hAnsi="宋体"/>
                <w:b/>
                <w:color w:val="FF0000"/>
                <w:sz w:val="52"/>
                <w:szCs w:val="52"/>
              </w:rPr>
              <w:t>慈溪市</w:t>
            </w:r>
            <w:r>
              <w:rPr>
                <w:rFonts w:hint="eastAsia" w:ascii="宋体" w:hAnsi="宋体"/>
                <w:b/>
                <w:color w:val="FF0000"/>
                <w:sz w:val="52"/>
                <w:szCs w:val="52"/>
                <w:lang w:eastAsia="zh-CN"/>
              </w:rPr>
              <w:t>人力资源和社会保障局</w:t>
            </w:r>
          </w:p>
          <w:p>
            <w:pPr>
              <w:ind w:firstLine="512" w:firstLineChars="98"/>
              <w:jc w:val="distribute"/>
              <w:rPr>
                <w:rFonts w:hint="eastAsia" w:ascii="宋体" w:hAnsi="宋体" w:eastAsia="宋体"/>
                <w:b/>
                <w:color w:val="FF0000"/>
                <w:sz w:val="52"/>
                <w:szCs w:val="52"/>
                <w:lang w:eastAsia="zh-CN"/>
              </w:rPr>
            </w:pPr>
            <w:r>
              <w:rPr>
                <w:rFonts w:hint="eastAsia" w:ascii="宋体" w:hAnsi="宋体"/>
                <w:b/>
                <w:color w:val="FF0000"/>
                <w:sz w:val="52"/>
                <w:szCs w:val="52"/>
              </w:rPr>
              <w:t>慈溪市</w:t>
            </w:r>
            <w:r>
              <w:rPr>
                <w:rFonts w:hint="eastAsia" w:ascii="宋体" w:hAnsi="宋体"/>
                <w:b/>
                <w:color w:val="FF0000"/>
                <w:sz w:val="52"/>
                <w:szCs w:val="52"/>
                <w:lang w:eastAsia="zh-CN"/>
              </w:rPr>
              <w:t>市场监管局</w:t>
            </w:r>
          </w:p>
        </w:tc>
        <w:tc>
          <w:tcPr>
            <w:tcW w:w="1643" w:type="dxa"/>
            <w:tcBorders>
              <w:top w:val="nil"/>
              <w:left w:val="nil"/>
              <w:bottom w:val="nil"/>
              <w:right w:val="nil"/>
            </w:tcBorders>
            <w:vAlign w:val="center"/>
          </w:tcPr>
          <w:p>
            <w:pPr>
              <w:widowControl/>
              <w:jc w:val="left"/>
              <w:rPr>
                <w:rFonts w:ascii="仿宋_GB2312" w:eastAsia="仿宋_GB2312"/>
                <w:b/>
                <w:color w:val="FF0000"/>
                <w:spacing w:val="-26"/>
                <w:w w:val="80"/>
                <w:sz w:val="32"/>
              </w:rPr>
            </w:pPr>
            <w:r>
              <w:rPr>
                <w:rFonts w:hint="eastAsia" w:ascii="宋体" w:hAnsi="宋体"/>
                <w:b/>
                <w:color w:val="FF0000"/>
                <w:spacing w:val="-26"/>
                <w:w w:val="80"/>
                <w:kern w:val="0"/>
                <w:sz w:val="84"/>
                <w:szCs w:val="84"/>
              </w:rPr>
              <w:t>文件</w:t>
            </w:r>
          </w:p>
        </w:tc>
      </w:tr>
    </w:tbl>
    <w:p>
      <w:pPr>
        <w:tabs>
          <w:tab w:val="left" w:pos="180"/>
          <w:tab w:val="left" w:pos="540"/>
          <w:tab w:val="left" w:pos="7920"/>
          <w:tab w:val="left" w:pos="8100"/>
        </w:tabs>
        <w:spacing w:line="360" w:lineRule="exact"/>
        <w:jc w:val="right"/>
        <w:rPr>
          <w:rFonts w:ascii="仿宋_GB2312" w:hAnsi="Calibri" w:eastAsia="仿宋_GB2312" w:cs="Calibri"/>
          <w:sz w:val="32"/>
          <w:szCs w:val="32"/>
        </w:rPr>
      </w:pPr>
      <w:r>
        <w:rPr>
          <w:rFonts w:hint="eastAsia" w:ascii="仿宋_GB2312" w:hAnsi="Calibri" w:eastAsia="仿宋_GB2312" w:cs="Calibri"/>
          <w:sz w:val="32"/>
          <w:szCs w:val="32"/>
        </w:rPr>
        <w:t>BCXD73-2019-0001</w:t>
      </w:r>
    </w:p>
    <w:p>
      <w:pPr>
        <w:tabs>
          <w:tab w:val="left" w:pos="180"/>
          <w:tab w:val="left" w:pos="540"/>
          <w:tab w:val="left" w:pos="7920"/>
          <w:tab w:val="left" w:pos="8100"/>
        </w:tabs>
        <w:spacing w:line="360" w:lineRule="exact"/>
        <w:jc w:val="center"/>
        <w:rPr>
          <w:rFonts w:ascii="仿宋_GB2312" w:hAnsi="Calibri" w:eastAsia="仿宋_GB2312" w:cs="Calibri"/>
          <w:sz w:val="32"/>
          <w:szCs w:val="32"/>
        </w:rPr>
      </w:pPr>
      <w:r>
        <w:rPr>
          <w:rFonts w:hint="eastAsia" w:ascii="仿宋_GB2312" w:hAnsi="Calibri" w:eastAsia="仿宋_GB2312" w:cs="Calibri"/>
          <w:sz w:val="32"/>
          <w:szCs w:val="32"/>
        </w:rPr>
        <w:t>慈医保〔2019〕</w:t>
      </w:r>
      <w:r>
        <w:rPr>
          <w:rFonts w:hint="eastAsia" w:ascii="仿宋_GB2312" w:hAnsi="Calibri" w:eastAsia="仿宋_GB2312" w:cs="Calibri"/>
          <w:sz w:val="32"/>
          <w:szCs w:val="32"/>
          <w:lang w:val="en-US" w:eastAsia="zh-CN"/>
        </w:rPr>
        <w:t>23</w:t>
      </w:r>
      <w:r>
        <w:rPr>
          <w:rFonts w:hint="eastAsia" w:ascii="仿宋_GB2312" w:hAnsi="Calibri" w:eastAsia="仿宋_GB2312" w:cs="Calibri"/>
          <w:sz w:val="32"/>
          <w:szCs w:val="32"/>
        </w:rPr>
        <w:t>号</w:t>
      </w:r>
    </w:p>
    <w:p>
      <w:pPr>
        <w:tabs>
          <w:tab w:val="left" w:pos="180"/>
          <w:tab w:val="left" w:pos="540"/>
          <w:tab w:val="left" w:pos="7920"/>
          <w:tab w:val="left" w:pos="8100"/>
        </w:tabs>
        <w:spacing w:line="360" w:lineRule="exact"/>
        <w:rPr>
          <w:rFonts w:hint="eastAsia" w:ascii="仿宋_GB2312" w:hAnsi="Calibri" w:eastAsia="仿宋_GB2312" w:cs="Calibri"/>
          <w:b/>
          <w:color w:val="FF0000"/>
          <w:sz w:val="10"/>
          <w:szCs w:val="10"/>
          <w:u w:val="single"/>
        </w:rPr>
      </w:pPr>
      <w:r>
        <w:rPr>
          <w:rFonts w:hint="eastAsia" w:ascii="黑体" w:hAnsi="Calibri" w:eastAsia="黑体" w:cs="Calibri"/>
          <w:b/>
          <w:color w:val="FF0000"/>
          <w:sz w:val="11"/>
          <w:szCs w:val="10"/>
          <w:u w:val="single"/>
        </w:rPr>
        <w:t xml:space="preserve">                                                                                                                                                        </w:t>
      </w:r>
      <w:r>
        <w:rPr>
          <w:rFonts w:hint="eastAsia" w:ascii="仿宋_GB2312" w:hAnsi="Calibri" w:eastAsia="仿宋_GB2312" w:cs="Calibri"/>
          <w:b/>
          <w:color w:val="FF0000"/>
          <w:sz w:val="10"/>
          <w:szCs w:val="10"/>
          <w:u w:val="single"/>
        </w:rPr>
        <w:t xml:space="preserve">              </w:t>
      </w:r>
    </w:p>
    <w:p>
      <w:pPr>
        <w:tabs>
          <w:tab w:val="left" w:pos="180"/>
          <w:tab w:val="left" w:pos="540"/>
          <w:tab w:val="left" w:pos="7920"/>
          <w:tab w:val="left" w:pos="8100"/>
        </w:tabs>
        <w:spacing w:line="360" w:lineRule="exact"/>
        <w:rPr>
          <w:rFonts w:ascii="仿宋_GB2312" w:hAnsi="Calibri" w:eastAsia="仿宋_GB2312" w:cs="Calibri"/>
          <w:b/>
          <w:color w:val="FF0000"/>
          <w:sz w:val="10"/>
          <w:szCs w:val="10"/>
          <w:u w:val="single"/>
        </w:rPr>
      </w:pPr>
    </w:p>
    <w:p>
      <w:pPr>
        <w:adjustRightInd w:val="0"/>
        <w:snapToGrid w:val="0"/>
        <w:spacing w:line="70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关于印发《慈溪市县域医共体基本医疗保险</w:t>
      </w:r>
    </w:p>
    <w:p>
      <w:pPr>
        <w:adjustRightInd w:val="0"/>
        <w:snapToGrid w:val="0"/>
        <w:spacing w:line="70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支付办法》（试行）的通知</w:t>
      </w:r>
    </w:p>
    <w:p>
      <w:pPr>
        <w:adjustRightInd w:val="0"/>
        <w:snapToGrid w:val="0"/>
        <w:spacing w:line="700" w:lineRule="exact"/>
        <w:jc w:val="center"/>
        <w:rPr>
          <w:rFonts w:hint="eastAsia" w:ascii="方正小标宋简体" w:hAnsi="黑体" w:eastAsia="方正小标宋简体" w:cs="黑体"/>
          <w:sz w:val="44"/>
          <w:szCs w:val="44"/>
        </w:rPr>
      </w:pPr>
      <w:bookmarkStart w:id="0" w:name="_GoBack"/>
      <w:bookmarkEnd w:id="0"/>
    </w:p>
    <w:p>
      <w:pPr>
        <w:spacing w:line="560" w:lineRule="exact"/>
        <w:rPr>
          <w:rFonts w:ascii="仿宋" w:hAnsi="仿宋" w:eastAsia="仿宋" w:cs="仿宋"/>
          <w:sz w:val="30"/>
          <w:szCs w:val="30"/>
        </w:rPr>
      </w:pPr>
      <w:r>
        <w:rPr>
          <w:rFonts w:hint="eastAsia" w:ascii="仿宋" w:hAnsi="仿宋" w:eastAsia="仿宋" w:cs="仿宋"/>
          <w:sz w:val="30"/>
          <w:szCs w:val="30"/>
        </w:rPr>
        <w:t>　　　　　　　　　　　　　　　　</w:t>
      </w:r>
    </w:p>
    <w:p>
      <w:pPr>
        <w:adjustRightInd w:val="0"/>
        <w:snapToGrid w:val="0"/>
        <w:spacing w:line="700" w:lineRule="exact"/>
        <w:rPr>
          <w:rFonts w:hint="eastAsia" w:ascii="仿宋_GB2312" w:hAnsi="仿宋" w:eastAsia="仿宋_GB2312" w:cs="仿宋"/>
          <w:sz w:val="32"/>
          <w:szCs w:val="32"/>
        </w:rPr>
      </w:pPr>
      <w:r>
        <w:rPr>
          <w:rFonts w:hint="eastAsia" w:ascii="仿宋_GB2312" w:hAnsi="仿宋" w:eastAsia="仿宋_GB2312" w:cs="仿宋"/>
          <w:sz w:val="32"/>
          <w:szCs w:val="32"/>
        </w:rPr>
        <w:t>各</w:t>
      </w:r>
      <w:r>
        <w:rPr>
          <w:rFonts w:hint="eastAsia" w:ascii="仿宋_GB2312" w:hAnsi="仿宋" w:eastAsia="仿宋_GB2312" w:cs="仿宋"/>
          <w:sz w:val="32"/>
          <w:szCs w:val="32"/>
          <w:lang w:eastAsia="zh-CN"/>
        </w:rPr>
        <w:t>医疗</w:t>
      </w:r>
      <w:r>
        <w:rPr>
          <w:rFonts w:hint="eastAsia" w:ascii="仿宋_GB2312" w:hAnsi="仿宋" w:eastAsia="仿宋_GB2312" w:cs="仿宋"/>
          <w:sz w:val="32"/>
          <w:szCs w:val="32"/>
        </w:rPr>
        <w:t>健康集团，各医保定点医药机构：</w:t>
      </w:r>
    </w:p>
    <w:p>
      <w:pPr>
        <w:widowControl/>
        <w:ind w:firstLine="640"/>
        <w:jc w:val="center"/>
        <w:rPr>
          <w:rFonts w:hint="eastAsia" w:ascii="仿宋_GB2312" w:hAnsi="仿宋" w:eastAsia="仿宋_GB2312" w:cs="仿宋"/>
          <w:sz w:val="32"/>
          <w:szCs w:val="32"/>
        </w:rPr>
      </w:pPr>
      <w:r>
        <w:rPr>
          <w:rFonts w:hint="eastAsia" w:ascii="仿宋_GB2312" w:hAnsi="仿宋" w:eastAsia="仿宋_GB2312" w:cs="仿宋"/>
          <w:sz w:val="32"/>
          <w:szCs w:val="32"/>
        </w:rPr>
        <w:t>为贯彻落实</w:t>
      </w:r>
      <w:r>
        <w:rPr>
          <w:rFonts w:hint="eastAsia" w:ascii="仿宋_GB2312" w:hAnsi="仿宋_GB2312" w:eastAsia="仿宋_GB2312" w:cs="仿宋_GB2312"/>
          <w:color w:val="000000"/>
          <w:sz w:val="32"/>
          <w:szCs w:val="32"/>
        </w:rPr>
        <w:t>《关于进一步深化基本医疗保险支付方式改革的指导意见》（国办发〔2017〕55号）、《关于全面推进县域医疗卫生服务共同体建设的意见》（浙委办发〔2018〕67号）、《关于推进全省县域医共体基本医疗保险支付方式改革的意见》（浙医保联发〔2019〕12号）及《关于印发〈慈溪市全面推进县域医疗卫生服务共同体建设实施方案〉的通知》(慈党办〔2018〕104号)等文件精神，根据宁波市医疗保障局等五部门《关于</w:t>
      </w:r>
      <w:r>
        <w:rPr>
          <w:rFonts w:hint="eastAsia" w:ascii="仿宋_GB2312" w:hAnsi="仿宋" w:eastAsia="仿宋_GB2312" w:cs="仿宋"/>
          <w:sz w:val="32"/>
          <w:szCs w:val="32"/>
        </w:rPr>
        <w:t>印发〈宁波市推进县域医共体基本医疗保险支付方式改革实施方案〉的通知》</w:t>
      </w:r>
      <w:r>
        <w:rPr>
          <w:rFonts w:hint="eastAsia" w:ascii="仿宋_GB2312" w:eastAsia="仿宋_GB2312"/>
          <w:sz w:val="32"/>
          <w:szCs w:val="32"/>
        </w:rPr>
        <w:t>（甬医保发〔2019〕29号），经市政府同意，</w:t>
      </w:r>
      <w:r>
        <w:rPr>
          <w:rFonts w:hint="eastAsia" w:ascii="仿宋_GB2312" w:hAnsi="仿宋" w:eastAsia="仿宋_GB2312" w:cs="仿宋"/>
          <w:sz w:val="32"/>
          <w:szCs w:val="32"/>
        </w:rPr>
        <w:t>制定《慈溪市县域医共体基本医疗保险支付办法（试行）》，现印发给你们，请</w:t>
      </w:r>
    </w:p>
    <w:p>
      <w:pPr>
        <w:widowControl/>
        <w:jc w:val="both"/>
        <w:rPr>
          <w:rFonts w:hint="eastAsia" w:ascii="仿宋_GB2312" w:hAnsi="仿宋" w:eastAsia="仿宋_GB2312" w:cs="仿宋"/>
          <w:sz w:val="32"/>
          <w:szCs w:val="32"/>
        </w:rPr>
      </w:pPr>
      <w:r>
        <w:rPr>
          <w:rFonts w:hint="eastAsia" w:ascii="仿宋_GB2312" w:hAnsi="仿宋" w:eastAsia="仿宋_GB2312" w:cs="仿宋"/>
          <w:sz w:val="32"/>
          <w:szCs w:val="32"/>
        </w:rPr>
        <w:t>认真贯彻执行。</w:t>
      </w:r>
    </w:p>
    <w:p>
      <w:pPr>
        <w:adjustRightInd w:val="0"/>
        <w:snapToGrid w:val="0"/>
        <w:spacing w:line="700" w:lineRule="exact"/>
        <w:jc w:val="center"/>
        <w:rPr>
          <w:rFonts w:hint="eastAsia" w:ascii="仿宋_GB2312" w:hAnsi="仿宋" w:eastAsia="仿宋_GB2312" w:cs="仿宋"/>
          <w:sz w:val="32"/>
          <w:szCs w:val="32"/>
        </w:rPr>
      </w:pPr>
    </w:p>
    <w:p>
      <w:pPr>
        <w:adjustRightInd w:val="0"/>
        <w:snapToGrid w:val="0"/>
        <w:spacing w:line="700" w:lineRule="exact"/>
        <w:jc w:val="center"/>
        <w:rPr>
          <w:rFonts w:hint="eastAsia" w:ascii="仿宋_GB2312" w:hAnsi="仿宋" w:eastAsia="仿宋_GB2312" w:cs="仿宋"/>
          <w:sz w:val="32"/>
          <w:szCs w:val="32"/>
        </w:rPr>
      </w:pPr>
    </w:p>
    <w:p>
      <w:pPr>
        <w:adjustRightInd w:val="0"/>
        <w:snapToGrid w:val="0"/>
        <w:spacing w:line="700" w:lineRule="exact"/>
        <w:rPr>
          <w:rFonts w:hint="eastAsia" w:ascii="仿宋_GB2312" w:hAnsi="仿宋" w:eastAsia="仿宋_GB2312" w:cs="仿宋"/>
          <w:sz w:val="32"/>
          <w:szCs w:val="32"/>
        </w:rPr>
      </w:pPr>
      <w:r>
        <w:rPr>
          <w:rFonts w:hint="eastAsia" w:ascii="仿宋_GB2312" w:hAnsi="仿宋" w:eastAsia="仿宋_GB2312" w:cs="仿宋"/>
          <w:sz w:val="32"/>
          <w:szCs w:val="32"/>
        </w:rPr>
        <w:t>　慈溪市医疗保障局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慈溪市卫生健康局</w:t>
      </w:r>
    </w:p>
    <w:p>
      <w:pPr>
        <w:adjustRightInd w:val="0"/>
        <w:snapToGrid w:val="0"/>
        <w:spacing w:line="700" w:lineRule="exact"/>
        <w:jc w:val="center"/>
        <w:rPr>
          <w:rFonts w:hint="eastAsia" w:ascii="仿宋_GB2312" w:hAnsi="仿宋" w:eastAsia="仿宋_GB2312" w:cs="仿宋"/>
          <w:sz w:val="32"/>
          <w:szCs w:val="32"/>
        </w:rPr>
      </w:pPr>
    </w:p>
    <w:p>
      <w:pPr>
        <w:adjustRightInd w:val="0"/>
        <w:snapToGrid w:val="0"/>
        <w:spacing w:line="700" w:lineRule="exact"/>
        <w:jc w:val="center"/>
        <w:rPr>
          <w:rFonts w:hint="eastAsia" w:ascii="仿宋_GB2312" w:hAnsi="仿宋" w:eastAsia="仿宋_GB2312" w:cs="仿宋"/>
          <w:sz w:val="32"/>
          <w:szCs w:val="32"/>
        </w:rPr>
      </w:pPr>
    </w:p>
    <w:p>
      <w:pPr>
        <w:adjustRightInd w:val="0"/>
        <w:snapToGrid w:val="0"/>
        <w:spacing w:line="700" w:lineRule="exact"/>
        <w:rPr>
          <w:rFonts w:hint="eastAsia" w:ascii="仿宋_GB2312" w:hAnsi="仿宋" w:eastAsia="仿宋_GB2312" w:cs="仿宋"/>
          <w:sz w:val="32"/>
          <w:szCs w:val="32"/>
        </w:rPr>
      </w:pPr>
      <w:r>
        <w:rPr>
          <w:rFonts w:hint="eastAsia" w:ascii="仿宋_GB2312" w:hAnsi="仿宋" w:eastAsia="仿宋_GB2312" w:cs="仿宋"/>
          <w:sz w:val="32"/>
          <w:szCs w:val="32"/>
        </w:rPr>
        <w:t>　慈溪市财政局　　　　　慈溪市人力资源和社会保障局</w:t>
      </w:r>
    </w:p>
    <w:p>
      <w:pPr>
        <w:adjustRightInd w:val="0"/>
        <w:snapToGrid w:val="0"/>
        <w:spacing w:line="700" w:lineRule="exact"/>
        <w:rPr>
          <w:rFonts w:hint="eastAsia" w:ascii="仿宋_GB2312" w:hAnsi="仿宋" w:eastAsia="仿宋_GB2312" w:cs="仿宋"/>
          <w:sz w:val="32"/>
          <w:szCs w:val="32"/>
        </w:rPr>
      </w:pPr>
    </w:p>
    <w:p>
      <w:pPr>
        <w:adjustRightInd w:val="0"/>
        <w:snapToGrid w:val="0"/>
        <w:spacing w:line="700" w:lineRule="exact"/>
        <w:rPr>
          <w:rFonts w:hint="eastAsia" w:ascii="仿宋_GB2312" w:hAnsi="仿宋" w:eastAsia="仿宋_GB2312" w:cs="仿宋"/>
          <w:sz w:val="32"/>
          <w:szCs w:val="32"/>
        </w:rPr>
      </w:pPr>
    </w:p>
    <w:p>
      <w:pPr>
        <w:adjustRightInd w:val="0"/>
        <w:snapToGrid w:val="0"/>
        <w:spacing w:line="700" w:lineRule="exact"/>
        <w:jc w:val="center"/>
        <w:rPr>
          <w:rFonts w:hint="eastAsia" w:ascii="仿宋_GB2312" w:eastAsia="仿宋_GB2312"/>
          <w:sz w:val="44"/>
          <w:szCs w:val="44"/>
        </w:rPr>
      </w:pPr>
      <w:r>
        <w:rPr>
          <w:rFonts w:hint="eastAsia" w:ascii="仿宋_GB2312" w:hAnsi="仿宋" w:eastAsia="仿宋_GB2312" w:cs="仿宋"/>
          <w:sz w:val="32"/>
          <w:szCs w:val="32"/>
        </w:rPr>
        <w:t>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慈溪市市场监督管理局</w:t>
      </w:r>
    </w:p>
    <w:p>
      <w:pPr>
        <w:adjustRightInd w:val="0"/>
        <w:snapToGrid w:val="0"/>
        <w:spacing w:line="700" w:lineRule="exact"/>
        <w:jc w:val="center"/>
        <w:rPr>
          <w:rFonts w:hint="eastAsia" w:ascii="仿宋_GB2312" w:hAnsi="仿宋" w:eastAsia="仿宋_GB2312" w:cs="仿宋"/>
          <w:sz w:val="32"/>
          <w:szCs w:val="32"/>
        </w:rPr>
      </w:pPr>
    </w:p>
    <w:p>
      <w:pPr>
        <w:adjustRightInd w:val="0"/>
        <w:snapToGrid w:val="0"/>
        <w:spacing w:line="700" w:lineRule="exact"/>
        <w:jc w:val="center"/>
        <w:rPr>
          <w:rFonts w:ascii="仿宋" w:hAnsi="仿宋" w:eastAsia="仿宋" w:cs="仿宋"/>
          <w:sz w:val="32"/>
          <w:szCs w:val="32"/>
        </w:rPr>
      </w:pPr>
      <w:r>
        <w:rPr>
          <w:rFonts w:hint="eastAsia" w:ascii="仿宋_GB2312" w:hAnsi="仿宋" w:eastAsia="仿宋_GB2312" w:cs="仿宋"/>
          <w:sz w:val="32"/>
          <w:szCs w:val="32"/>
        </w:rPr>
        <w:t>　　　　　　　　　　　　2019年12月</w:t>
      </w:r>
      <w:r>
        <w:rPr>
          <w:rFonts w:hint="eastAsia" w:ascii="仿宋_GB2312" w:hAnsi="仿宋" w:eastAsia="仿宋_GB2312" w:cs="仿宋"/>
          <w:sz w:val="32"/>
          <w:szCs w:val="32"/>
          <w:lang w:val="en-US" w:eastAsia="zh-CN"/>
        </w:rPr>
        <w:t>18</w:t>
      </w:r>
      <w:r>
        <w:rPr>
          <w:rFonts w:hint="eastAsia" w:ascii="仿宋_GB2312" w:hAnsi="仿宋" w:eastAsia="仿宋_GB2312" w:cs="仿宋"/>
          <w:sz w:val="32"/>
          <w:szCs w:val="32"/>
        </w:rPr>
        <w:t>日</w:t>
      </w:r>
    </w:p>
    <w:p>
      <w:pPr>
        <w:adjustRightInd w:val="0"/>
        <w:snapToGrid w:val="0"/>
        <w:spacing w:line="700" w:lineRule="exact"/>
        <w:jc w:val="both"/>
        <w:rPr>
          <w:rFonts w:eastAsia="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慈溪市县域医共体基本医疗保险支付办法</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（试行）</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黑体" w:hAnsi="黑体" w:eastAsia="黑体" w:cs="黑体"/>
          <w:sz w:val="44"/>
          <w:szCs w:val="44"/>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工作目标</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实现“控基金”和“提质量”双目标，医保基金支出年增速原则上不超过10%，到2022年，群众就医满意度不断提高，基层就诊率达到65%以上，县域就诊率达到90%以上。2019年，医共体支付方式改革启动，总额预算管理全面实施。2020年，医共体支付方式改革全面实施，基本实现以基金支出总额预算管理下的按人头总额预算付费，推进住院医疗服务按DRGs点数法付费。2021年，医保基金预算更加合理、分类方式更加科学，总额预算管理下的门诊按人头总额预算付费、住院按DRGs点数法付费方式基本形成。</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eastAsia="黑体"/>
          <w:sz w:val="32"/>
          <w:szCs w:val="32"/>
        </w:rPr>
      </w:pPr>
      <w:r>
        <w:rPr>
          <w:rFonts w:hint="eastAsia" w:eastAsia="黑体"/>
          <w:sz w:val="32"/>
          <w:szCs w:val="32"/>
        </w:rPr>
        <w:t>　　二、</w:t>
      </w:r>
      <w:r>
        <w:rPr>
          <w:rFonts w:eastAsia="黑体"/>
          <w:sz w:val="32"/>
          <w:szCs w:val="32"/>
        </w:rPr>
        <w:t>基本原则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000000"/>
          <w:sz w:val="32"/>
          <w:szCs w:val="32"/>
        </w:rPr>
        <w:t>——</w:t>
      </w:r>
      <w:r>
        <w:rPr>
          <w:rFonts w:hint="eastAsia" w:ascii="仿宋_GB2312" w:eastAsia="仿宋_GB2312"/>
          <w:sz w:val="32"/>
          <w:szCs w:val="32"/>
        </w:rPr>
        <w:t>保障基本。坚持“以收定支，收支平衡，略有结余”原则，不断提高基金使用绩效，着力保障参保人员基本医疗需求，促进医疗卫生资源合理利用，防止过度医疗，筑牢保障底线。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——健全机制。发挥医保支付的第三方优势，健全医保对医疗服务行为的激励约束机制以及对医疗费用的控制机制，促进县域医共体管理创新。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——因地制宜。充分考虑基金支付能力、医保管理水平、医疗服务特点等因素，不断完善符合本地实际的医保支付方式。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——分类推进。在夯实总额预算管理基础上，坚持点面结合，积极稳妥分类推进门诊按</w:t>
      </w:r>
      <w:r>
        <w:rPr>
          <w:rFonts w:hint="eastAsia" w:ascii="仿宋_GB2312" w:eastAsia="仿宋_GB2312"/>
          <w:sz w:val="32"/>
          <w:szCs w:val="32"/>
        </w:rPr>
        <w:t>人头</w:t>
      </w:r>
      <w:r>
        <w:rPr>
          <w:rFonts w:hint="eastAsia" w:ascii="仿宋_GB2312" w:hAnsi="仿宋_GB2312" w:eastAsia="仿宋_GB2312" w:cs="仿宋_GB2312"/>
          <w:color w:val="000000"/>
          <w:sz w:val="32"/>
          <w:szCs w:val="32"/>
        </w:rPr>
        <w:t>付费、住院按DRGs点数法付费等复合支付方式改革，确保不影响医院正常运行和参保人员享受待遇。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color w:val="000000"/>
          <w:sz w:val="32"/>
          <w:szCs w:val="32"/>
        </w:rPr>
      </w:pPr>
      <w:r>
        <w:rPr>
          <w:rFonts w:hint="eastAsia" w:eastAsia="黑体"/>
          <w:color w:val="000000"/>
          <w:sz w:val="32"/>
          <w:szCs w:val="32"/>
        </w:rPr>
        <w:t>三</w:t>
      </w:r>
      <w:r>
        <w:rPr>
          <w:rFonts w:eastAsia="黑体"/>
          <w:color w:val="000000"/>
          <w:sz w:val="32"/>
          <w:szCs w:val="32"/>
        </w:rPr>
        <w:t>、</w:t>
      </w:r>
      <w:r>
        <w:rPr>
          <w:rFonts w:hint="eastAsia" w:eastAsia="黑体"/>
          <w:color w:val="000000"/>
          <w:sz w:val="32"/>
          <w:szCs w:val="32"/>
        </w:rPr>
        <w:t>付费管理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楷体_GB2312"/>
          <w:color w:val="000000"/>
          <w:sz w:val="32"/>
          <w:szCs w:val="32"/>
        </w:rPr>
      </w:pPr>
      <w:r>
        <w:rPr>
          <w:rFonts w:eastAsia="楷体_GB2312"/>
          <w:color w:val="000000"/>
          <w:sz w:val="32"/>
          <w:szCs w:val="32"/>
        </w:rPr>
        <w:t>（一）总额预算管理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编制总额预算。坚持以医保基金预算管理为基础，实施基本医疗保险付费总额控制。按照“以收定支、收支平衡、略有结余”的原则，以上一年度我市医保基金收支决算结果为基础，综合考虑下一年度基金收入预算、GDP增速、城乡居民可支配收入和医疗服务数量、质量、能力等因素，经医保付费联席会议商议，分别确定下一年度职工医保和城乡居民医保的基金支出增长率、基金支出总额预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科学分配额度。根据确定的医保基金支出总额预算，合理分配各医共体及其他各定点医疗机构年度预算总额，其中门诊（含门诊特殊病种、门诊外配处方、院外检查治疗、应急记账、药店直接购买非处方药）费用，以医共体为单位，实施按人头总额预算付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住院医疗费用的预算额度分配，在实施DRGs点数法付费前，按上述办法实施按人头总额预算付费，分配到各医共体；全面实施住院DRGs点数法付费后，不再实施按人头总额付费。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入医共体付费的参保人员市内定点医药机构发生的费用、赴慈溪市外就医发生的费用（包括结算和零星报销），均纳入按人头总额预算付费。非本市参保人员在医共体就医发生的费用暂不纳入按人头总额预算付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激励约束机制。建立“结余留用、超支分担”的责任共担机制，留用和分担比例与年度服务质量评价相结合。医共体医保年度基金统算出现结余或超支的，按80%比例由医共体留用或分担。其他医疗机构年度费用统算出现结余的，预算总额的80%（含）-100%部分按医疗机构基金总体支付比例折算，由定点医疗机构按70%比例分享，预算总额的80%以下部分，不再分享；出现超支的，预算总额的100%-120%（含）部分按医疗机构基金总体支付比例折算，由定点医疗机构按50%比例分担，超出预算120%以上部分，定点医疗机构全额分担，基金不再支付。</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年度定点医疗机构服务质量评价由医疗保障局组织实施，确定A、B、C、D四类6档等级，其中评定为AAA级、AA级、A级的，结余留用（分享）分别比例上调5、3、1个百分点，超支分担分别下调5、3、1个百分点；评定为B级、C级的，结余留用（分享）比例分别下调3、5个百分点，超支分担分别上调3、5个百分点；评定为D级的，结余不予留用（分享），超支不予分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4.优化决算管理。医保付费年度统算和清算时，对于确因政策变动、疾病爆发、重大自然灾害等客观因素对医保基金支出造成较大影响的，医保总额预算给予合理调整。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楷体_GB2312"/>
          <w:color w:val="000000"/>
          <w:sz w:val="32"/>
          <w:szCs w:val="32"/>
        </w:rPr>
      </w:pPr>
      <w:r>
        <w:rPr>
          <w:rFonts w:eastAsia="楷体_GB2312"/>
          <w:color w:val="000000"/>
          <w:sz w:val="32"/>
          <w:szCs w:val="32"/>
        </w:rPr>
        <w:t>（二）</w:t>
      </w:r>
      <w:r>
        <w:rPr>
          <w:rFonts w:hint="eastAsia" w:eastAsia="楷体_GB2312"/>
          <w:color w:val="000000"/>
          <w:sz w:val="32"/>
          <w:szCs w:val="32"/>
        </w:rPr>
        <w:t>医共体付费办法</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黑体" w:hAnsi="黑体" w:eastAsia="仿宋_GB2312" w:cs="黑体"/>
          <w:sz w:val="32"/>
          <w:szCs w:val="32"/>
        </w:rPr>
      </w:pPr>
      <w:r>
        <w:rPr>
          <w:rFonts w:hint="eastAsia" w:ascii="仿宋_GB2312" w:hAnsi="仿宋_GB2312" w:eastAsia="仿宋_GB2312" w:cs="仿宋_GB2312"/>
          <w:color w:val="000000"/>
          <w:sz w:val="32"/>
          <w:szCs w:val="32"/>
        </w:rPr>
        <w:t>　　5.实施医共体门诊按人头付费。门诊医疗费用按人头包干给医共体，参保人员按签约地、户籍地、参保地等包干给所属医共体，引导医生主动为参保人员提供全过程健康管理服务；参保人员在所属医共体外（包括市外）就医购药发生的门诊费用，计入所属医共体的医保基金</w:t>
      </w:r>
      <w:r>
        <w:rPr>
          <w:rFonts w:hint="eastAsia" w:eastAsia="仿宋_GB2312"/>
          <w:sz w:val="32"/>
          <w:szCs w:val="32"/>
        </w:rPr>
        <w:t>门诊</w:t>
      </w:r>
      <w:r>
        <w:rPr>
          <w:rFonts w:hint="eastAsia" w:ascii="仿宋_GB2312" w:hAnsi="仿宋_GB2312" w:eastAsia="仿宋_GB2312" w:cs="仿宋_GB2312"/>
          <w:color w:val="000000"/>
          <w:sz w:val="32"/>
          <w:szCs w:val="32"/>
        </w:rPr>
        <w:t>总额包干。医保基金</w:t>
      </w:r>
      <w:r>
        <w:rPr>
          <w:rFonts w:hint="eastAsia" w:eastAsia="仿宋_GB2312"/>
          <w:sz w:val="32"/>
          <w:szCs w:val="32"/>
        </w:rPr>
        <w:t>门诊</w:t>
      </w:r>
      <w:r>
        <w:rPr>
          <w:rFonts w:hint="eastAsia" w:ascii="仿宋_GB2312" w:hAnsi="仿宋_GB2312" w:eastAsia="仿宋_GB2312" w:cs="仿宋_GB2312"/>
          <w:color w:val="000000"/>
          <w:sz w:val="32"/>
          <w:szCs w:val="32"/>
        </w:rPr>
        <w:t>总额</w:t>
      </w:r>
      <w:r>
        <w:rPr>
          <w:rFonts w:hint="eastAsia" w:eastAsia="仿宋_GB2312"/>
          <w:sz w:val="32"/>
          <w:szCs w:val="32"/>
        </w:rPr>
        <w:t>包括</w:t>
      </w:r>
      <w:r>
        <w:rPr>
          <w:rFonts w:eastAsia="仿宋_GB2312"/>
          <w:sz w:val="32"/>
          <w:szCs w:val="32"/>
        </w:rPr>
        <w:t>参保人员当年度门诊符合医保规定的统筹基金及</w:t>
      </w:r>
      <w:r>
        <w:rPr>
          <w:rFonts w:hint="eastAsia" w:eastAsia="仿宋_GB2312"/>
          <w:sz w:val="32"/>
          <w:szCs w:val="32"/>
        </w:rPr>
        <w:t>当年</w:t>
      </w:r>
      <w:r>
        <w:rPr>
          <w:rFonts w:eastAsia="仿宋_GB2312"/>
          <w:sz w:val="32"/>
          <w:szCs w:val="32"/>
        </w:rPr>
        <w:t>个人账户部分的支出</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eastAsia="仿宋_GB2312"/>
          <w:sz w:val="32"/>
          <w:szCs w:val="32"/>
        </w:rPr>
      </w:pPr>
      <w:r>
        <w:rPr>
          <w:rFonts w:hint="eastAsia" w:eastAsia="仿宋_GB2312"/>
          <w:sz w:val="32"/>
          <w:szCs w:val="32"/>
        </w:rPr>
        <w:t>（1）服务人群分配</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eastAsia="仿宋_GB2312"/>
          <w:sz w:val="32"/>
          <w:szCs w:val="32"/>
        </w:rPr>
      </w:pPr>
      <w:r>
        <w:rPr>
          <w:rFonts w:hint="eastAsia" w:eastAsia="仿宋_GB2312"/>
          <w:sz w:val="32"/>
          <w:szCs w:val="32"/>
        </w:rPr>
        <w:t>参保人员以户籍地分配给所在镇（街道）卫生院（社区服务中心），非本市户籍的以参保单位（非本市户籍的学生按学校）所在地分配给所在镇（街道）卫生院（社区服务中心），其中已经家庭医生签约的，归入签约地。医共体各成员单位分配门诊服务人头之和为该医共体门诊服务总人头。人头分配按医保年度首日户籍、签约、参保等实际情况确定，年度内发生户籍迁移、家庭医生新签约等变化的，门诊包干人头数不作调整，年中新增人员在年度决算中适当考虑。</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eastAsia="仿宋_GB2312"/>
          <w:sz w:val="32"/>
          <w:szCs w:val="32"/>
        </w:rPr>
      </w:pPr>
      <w:r>
        <w:rPr>
          <w:rFonts w:hint="eastAsia" w:eastAsia="仿宋_GB2312"/>
          <w:sz w:val="32"/>
          <w:szCs w:val="32"/>
        </w:rPr>
        <w:t>享受退休职工医疗保险待遇的非慈溪户籍人员，除家庭医生签约外，不列入医共体包干范围，家庭医生签约的列入对应医共体包干。</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仿宋_GB2312"/>
          <w:b/>
          <w:bCs/>
          <w:sz w:val="32"/>
          <w:szCs w:val="32"/>
        </w:rPr>
      </w:pPr>
      <w:r>
        <w:rPr>
          <w:rFonts w:hint="eastAsia" w:ascii="仿宋_GB2312" w:hAnsi="仿宋_GB2312" w:eastAsia="仿宋_GB2312" w:cs="仿宋_GB2312"/>
          <w:color w:val="000000"/>
          <w:sz w:val="32"/>
          <w:szCs w:val="32"/>
        </w:rPr>
        <w:t>　　</w:t>
      </w:r>
      <w:r>
        <w:rPr>
          <w:rFonts w:hint="eastAsia" w:eastAsia="仿宋_GB2312"/>
          <w:sz w:val="32"/>
          <w:szCs w:val="32"/>
        </w:rPr>
        <w:t>（2）</w:t>
      </w:r>
      <w:r>
        <w:rPr>
          <w:rFonts w:hint="eastAsia" w:ascii="仿宋_GB2312" w:hAnsi="仿宋_GB2312" w:eastAsia="仿宋_GB2312" w:cs="仿宋_GB2312"/>
          <w:color w:val="000000"/>
          <w:sz w:val="32"/>
          <w:szCs w:val="32"/>
        </w:rPr>
        <w:t>总额预算指标</w:t>
      </w:r>
    </w:p>
    <w:p>
      <w:pPr>
        <w:keepNext w:val="0"/>
        <w:keepLines w:val="0"/>
        <w:pageBreakBefore w:val="0"/>
        <w:widowControl w:val="0"/>
        <w:kinsoku/>
        <w:wordWrap/>
        <w:overflowPunct/>
        <w:topLinePunct w:val="0"/>
        <w:autoSpaceDE/>
        <w:autoSpaceDN/>
        <w:bidi w:val="0"/>
        <w:adjustRightInd w:val="0"/>
        <w:snapToGrid w:val="0"/>
        <w:spacing w:line="560" w:lineRule="exact"/>
        <w:ind w:firstLine="601" w:firstLineChars="188"/>
        <w:textAlignment w:val="auto"/>
        <w:rPr>
          <w:rFonts w:eastAsia="仿宋_GB2312"/>
          <w:sz w:val="32"/>
          <w:szCs w:val="32"/>
        </w:rPr>
      </w:pPr>
      <w:r>
        <w:rPr>
          <w:rFonts w:hint="eastAsia" w:ascii="仿宋_GB2312" w:hAnsi="仿宋_GB2312" w:eastAsia="仿宋_GB2312" w:cs="仿宋_GB2312"/>
          <w:color w:val="000000"/>
          <w:sz w:val="32"/>
          <w:szCs w:val="32"/>
        </w:rPr>
        <w:t>以上一医保年度我市各年龄段参保人员医保基金人均门诊支出为基础，结合新年度医保基金总额预算，确定各年龄段参保人员人头门诊基金支出定额。</w:t>
      </w:r>
      <w:r>
        <w:rPr>
          <w:rFonts w:hint="eastAsia" w:eastAsia="仿宋_GB2312"/>
          <w:sz w:val="32"/>
          <w:szCs w:val="32"/>
        </w:rPr>
        <w:t>门诊基金支出人头包干定额标准（以下简称“人头门诊定额”）按险种、按年龄段划分，分城乡居民医保婴幼儿、学生、45周岁以下成年人、45-60周岁成年人、60周岁以上成年人，职工医保45周岁以下、45-60周岁、60周岁以上。</w:t>
      </w:r>
      <w:r>
        <w:rPr>
          <w:rFonts w:eastAsia="仿宋_GB2312"/>
          <w:sz w:val="32"/>
          <w:szCs w:val="32"/>
        </w:rPr>
        <w:t>各</w:t>
      </w:r>
      <w:r>
        <w:rPr>
          <w:rFonts w:hint="eastAsia" w:eastAsia="仿宋_GB2312"/>
          <w:sz w:val="32"/>
          <w:szCs w:val="32"/>
        </w:rPr>
        <w:t>健康集团</w:t>
      </w:r>
      <w:r>
        <w:rPr>
          <w:rFonts w:eastAsia="仿宋_GB2312"/>
          <w:sz w:val="32"/>
          <w:szCs w:val="32"/>
        </w:rPr>
        <w:t>所辖服务范围的参保人数</w:t>
      </w:r>
      <w:r>
        <w:rPr>
          <w:rFonts w:hint="eastAsia" w:eastAsia="仿宋_GB2312"/>
          <w:sz w:val="32"/>
          <w:szCs w:val="32"/>
        </w:rPr>
        <w:t>计</w:t>
      </w:r>
      <w:r>
        <w:rPr>
          <w:rFonts w:eastAsia="仿宋_GB2312"/>
          <w:sz w:val="32"/>
          <w:szCs w:val="32"/>
        </w:rPr>
        <w:t>算成各医共体年度</w:t>
      </w:r>
      <w:r>
        <w:rPr>
          <w:rFonts w:hint="eastAsia" w:ascii="仿宋_GB2312" w:hAnsi="仿宋_GB2312" w:eastAsia="仿宋_GB2312" w:cs="仿宋_GB2312"/>
          <w:color w:val="000000"/>
          <w:sz w:val="32"/>
          <w:szCs w:val="32"/>
        </w:rPr>
        <w:t>医保基金</w:t>
      </w:r>
      <w:r>
        <w:rPr>
          <w:rFonts w:hint="eastAsia" w:eastAsia="仿宋_GB2312"/>
          <w:sz w:val="32"/>
          <w:szCs w:val="32"/>
        </w:rPr>
        <w:t>门诊</w:t>
      </w:r>
      <w:r>
        <w:rPr>
          <w:rFonts w:eastAsia="仿宋_GB2312"/>
          <w:sz w:val="32"/>
          <w:szCs w:val="32"/>
        </w:rPr>
        <w:t>包干总额</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1" w:firstLineChars="188"/>
        <w:textAlignment w:val="auto"/>
        <w:rPr>
          <w:rFonts w:hint="eastAsia" w:eastAsia="仿宋_GB2312"/>
          <w:sz w:val="32"/>
          <w:szCs w:val="32"/>
          <w:lang w:eastAsia="zh-CN"/>
        </w:rPr>
      </w:pPr>
      <w:r>
        <w:rPr>
          <w:rFonts w:eastAsia="仿宋_GB2312"/>
          <w:sz w:val="32"/>
          <w:szCs w:val="32"/>
        </w:rPr>
        <w:t>医共体年度</w:t>
      </w:r>
      <w:r>
        <w:rPr>
          <w:rFonts w:hint="eastAsia" w:ascii="仿宋_GB2312" w:hAnsi="仿宋_GB2312" w:eastAsia="仿宋_GB2312" w:cs="仿宋_GB2312"/>
          <w:color w:val="000000"/>
          <w:sz w:val="32"/>
          <w:szCs w:val="32"/>
        </w:rPr>
        <w:t>医保基金</w:t>
      </w:r>
      <w:r>
        <w:rPr>
          <w:rFonts w:hint="eastAsia" w:eastAsia="仿宋_GB2312"/>
          <w:sz w:val="32"/>
          <w:szCs w:val="32"/>
        </w:rPr>
        <w:t>门诊</w:t>
      </w:r>
      <w:r>
        <w:rPr>
          <w:rFonts w:eastAsia="仿宋_GB2312"/>
          <w:sz w:val="32"/>
          <w:szCs w:val="32"/>
        </w:rPr>
        <w:t>包干总额</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position w:val="-14"/>
          <w:sz w:val="32"/>
          <w:szCs w:val="32"/>
        </w:rPr>
        <w:object>
          <v:shape id="_x0000_i1025" o:spt="75" type="#_x0000_t75" style="height:20.05pt;width:23.1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仿宋_GB2312" w:hAnsi="仿宋_GB2312" w:eastAsia="仿宋_GB2312" w:cs="仿宋_GB2312"/>
          <w:color w:val="000000"/>
          <w:position w:val="-14"/>
          <w:sz w:val="32"/>
          <w:szCs w:val="32"/>
          <w:lang w:eastAsia="zh-CN"/>
        </w:rPr>
        <w:t>（</w:t>
      </w:r>
      <w:r>
        <w:rPr>
          <w:rFonts w:hint="eastAsia" w:eastAsia="仿宋_GB2312"/>
          <w:sz w:val="32"/>
          <w:szCs w:val="32"/>
        </w:rPr>
        <w:t>人头门诊定额</w:t>
      </w:r>
      <w:r>
        <w:rPr>
          <w:rFonts w:ascii="Arial" w:hAnsi="Arial" w:eastAsia="仿宋_GB2312" w:cs="Arial"/>
          <w:sz w:val="32"/>
          <w:szCs w:val="32"/>
        </w:rPr>
        <w:t>×</w:t>
      </w:r>
      <w:r>
        <w:rPr>
          <w:rFonts w:hint="eastAsia" w:ascii="Arial" w:hAnsi="Arial" w:eastAsia="仿宋_GB2312" w:cs="Arial"/>
          <w:sz w:val="32"/>
          <w:szCs w:val="32"/>
        </w:rPr>
        <w:t>对应</w:t>
      </w:r>
      <w:r>
        <w:rPr>
          <w:rFonts w:hint="eastAsia" w:eastAsia="仿宋_GB2312"/>
          <w:sz w:val="32"/>
          <w:szCs w:val="32"/>
        </w:rPr>
        <w:t>人头数</w:t>
      </w:r>
      <w:r>
        <w:rPr>
          <w:rFonts w:hint="eastAsia"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1" w:firstLineChars="188"/>
        <w:textAlignment w:val="auto"/>
        <w:rPr>
          <w:rFonts w:ascii="仿宋_GB2312" w:hAnsi="仿宋_GB2312" w:eastAsia="仿宋_GB2312" w:cs="仿宋_GB2312"/>
          <w:color w:val="000000"/>
          <w:sz w:val="32"/>
          <w:szCs w:val="32"/>
        </w:rPr>
      </w:pPr>
      <w:r>
        <w:rPr>
          <w:rFonts w:hint="eastAsia" w:eastAsia="仿宋_GB2312"/>
          <w:sz w:val="32"/>
          <w:szCs w:val="32"/>
        </w:rPr>
        <w:t>其中城乡居民医保成年居民人头门诊定额根据成年居民A档参保比例，乘以调节系数确定。调节系数＝1+（医共体A档参保率-全市平均A档参保率）/5</w:t>
      </w:r>
    </w:p>
    <w:p>
      <w:pPr>
        <w:keepNext w:val="0"/>
        <w:keepLines w:val="0"/>
        <w:pageBreakBefore w:val="0"/>
        <w:widowControl w:val="0"/>
        <w:kinsoku/>
        <w:wordWrap/>
        <w:overflowPunct/>
        <w:topLinePunct w:val="0"/>
        <w:autoSpaceDE/>
        <w:autoSpaceDN/>
        <w:bidi w:val="0"/>
        <w:adjustRightInd w:val="0"/>
        <w:snapToGrid w:val="0"/>
        <w:spacing w:line="560" w:lineRule="exact"/>
        <w:ind w:firstLine="601" w:firstLineChars="188"/>
        <w:textAlignment w:val="auto"/>
        <w:rPr>
          <w:rFonts w:eastAsia="仿宋_GB2312"/>
          <w:sz w:val="32"/>
          <w:szCs w:val="32"/>
        </w:rPr>
      </w:pPr>
      <w:r>
        <w:rPr>
          <w:rFonts w:hint="eastAsia" w:ascii="仿宋_GB2312" w:hAnsi="仿宋_GB2312" w:eastAsia="仿宋_GB2312" w:cs="仿宋_GB2312"/>
          <w:color w:val="000000"/>
          <w:sz w:val="32"/>
          <w:szCs w:val="32"/>
        </w:rPr>
        <w:t>6.</w:t>
      </w:r>
      <w:r>
        <w:rPr>
          <w:rFonts w:hint="eastAsia" w:eastAsia="仿宋_GB2312"/>
          <w:sz w:val="32"/>
          <w:szCs w:val="32"/>
        </w:rPr>
        <w:t>推行住院医疗服务按DRGs点数法付费</w:t>
      </w:r>
    </w:p>
    <w:p>
      <w:pPr>
        <w:keepNext w:val="0"/>
        <w:keepLines w:val="0"/>
        <w:pageBreakBefore w:val="0"/>
        <w:widowControl w:val="0"/>
        <w:kinsoku/>
        <w:wordWrap/>
        <w:overflowPunct/>
        <w:topLinePunct w:val="0"/>
        <w:autoSpaceDE/>
        <w:autoSpaceDN/>
        <w:bidi w:val="0"/>
        <w:adjustRightInd w:val="0"/>
        <w:snapToGrid w:val="0"/>
        <w:spacing w:line="560" w:lineRule="exact"/>
        <w:ind w:firstLine="601" w:firstLineChars="188"/>
        <w:textAlignment w:val="auto"/>
        <w:rPr>
          <w:rFonts w:eastAsia="仿宋_GB2312"/>
          <w:sz w:val="32"/>
          <w:szCs w:val="32"/>
        </w:rPr>
      </w:pPr>
      <w:r>
        <w:rPr>
          <w:rFonts w:hint="eastAsia" w:eastAsia="仿宋_GB2312"/>
          <w:sz w:val="32"/>
          <w:szCs w:val="32"/>
        </w:rPr>
        <w:t>（1）严格执行DRGs标准。按照省、宁波市确定的DRGs标准、入组疾病点数和DRGs点数付费办法，推进开展住院医疗服务医保支付和绩效管理。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01" w:firstLineChars="188"/>
        <w:textAlignment w:val="auto"/>
        <w:rPr>
          <w:rFonts w:eastAsia="仿宋_GB2312"/>
          <w:sz w:val="32"/>
          <w:szCs w:val="32"/>
        </w:rPr>
      </w:pPr>
      <w:r>
        <w:rPr>
          <w:rFonts w:hint="eastAsia" w:eastAsia="仿宋_GB2312"/>
          <w:sz w:val="32"/>
          <w:szCs w:val="32"/>
        </w:rPr>
        <w:t>（2）明确病组点值。根据年度实际结算医疗服务总点数和</w:t>
      </w:r>
      <w:r>
        <w:rPr>
          <w:rFonts w:hint="eastAsia" w:ascii="仿宋_GB2312" w:hAnsi="仿宋_GB2312" w:eastAsia="仿宋_GB2312" w:cs="仿宋_GB2312"/>
          <w:color w:val="000000"/>
          <w:sz w:val="32"/>
          <w:szCs w:val="32"/>
        </w:rPr>
        <w:t>住院医保基金支出预</w:t>
      </w:r>
      <w:r>
        <w:rPr>
          <w:rFonts w:hint="eastAsia" w:eastAsia="仿宋_GB2312"/>
          <w:sz w:val="32"/>
          <w:szCs w:val="32"/>
        </w:rPr>
        <w:t>算</w:t>
      </w:r>
      <w:r>
        <w:rPr>
          <w:rFonts w:hint="eastAsia" w:ascii="仿宋_GB2312" w:hAnsi="仿宋_GB2312" w:eastAsia="仿宋_GB2312" w:cs="仿宋_GB2312"/>
          <w:color w:val="000000"/>
          <w:sz w:val="32"/>
          <w:szCs w:val="32"/>
        </w:rPr>
        <w:t>总额，</w:t>
      </w:r>
      <w:r>
        <w:rPr>
          <w:rFonts w:hint="eastAsia" w:eastAsia="仿宋_GB2312"/>
          <w:sz w:val="32"/>
          <w:szCs w:val="32"/>
        </w:rPr>
        <w:t>确定每点的实际价值。以各医疗机构的住院服务总点值为支付依据，清算年度医保基金。</w:t>
      </w:r>
    </w:p>
    <w:p>
      <w:pPr>
        <w:keepNext w:val="0"/>
        <w:keepLines w:val="0"/>
        <w:pageBreakBefore w:val="0"/>
        <w:widowControl w:val="0"/>
        <w:kinsoku/>
        <w:wordWrap/>
        <w:overflowPunct/>
        <w:topLinePunct w:val="0"/>
        <w:autoSpaceDE/>
        <w:autoSpaceDN/>
        <w:bidi w:val="0"/>
        <w:adjustRightInd w:val="0"/>
        <w:snapToGrid w:val="0"/>
        <w:spacing w:line="560" w:lineRule="exact"/>
        <w:ind w:firstLine="601" w:firstLineChars="188"/>
        <w:textAlignment w:val="auto"/>
        <w:rPr>
          <w:rFonts w:ascii="仿宋_GB2312" w:hAnsi="仿宋_GB2312" w:eastAsia="仿宋_GB2312" w:cs="仿宋_GB2312"/>
          <w:color w:val="000000"/>
          <w:sz w:val="32"/>
          <w:szCs w:val="32"/>
        </w:rPr>
      </w:pPr>
      <w:r>
        <w:rPr>
          <w:rFonts w:hint="eastAsia" w:eastAsia="仿宋_GB2312"/>
          <w:sz w:val="32"/>
          <w:szCs w:val="32"/>
        </w:rPr>
        <w:t>（3）在未实施DRGs点数法付费前，</w:t>
      </w:r>
      <w:r>
        <w:rPr>
          <w:rFonts w:hint="eastAsia" w:ascii="仿宋_GB2312" w:hAnsi="仿宋_GB2312" w:eastAsia="仿宋_GB2312" w:cs="仿宋_GB2312"/>
          <w:color w:val="000000"/>
          <w:sz w:val="32"/>
          <w:szCs w:val="32"/>
        </w:rPr>
        <w:t>住院费用参照门诊按人头包干方式实施医共体按人头总额预算。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仿宋_GB2312" w:hAnsi="仿宋_GB2312" w:eastAsia="仿宋_GB2312" w:cs="仿宋_GB2312"/>
          <w:color w:val="000000"/>
          <w:sz w:val="32"/>
          <w:szCs w:val="32"/>
        </w:rPr>
        <w:t>7.医共体外卫生院（社区卫生服务中心）付费</w:t>
      </w:r>
      <w:r>
        <w:rPr>
          <w:rFonts w:hint="eastAsia" w:eastAsia="仿宋_GB2312"/>
          <w:sz w:val="32"/>
          <w:szCs w:val="32"/>
        </w:rPr>
        <w:t>方式。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（1）杭州湾新区医联体参照医共体对分配服务人群实施付费管理，杭州湾新区医联体包括杭州湾医院、慈溪市庵东中心卫生院、杭州湾新区社区卫生服务中心。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2）观海卫镇参保人员按村（社区、居委）对应的社区卫生服务中心实行服务人群分配，其中观海卫镇卫生院分配人头列入人民医院医共体（健康集团），观海卫第二社区卫生服务中心参照医共体付费办法单独核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三</w:t>
      </w:r>
      <w:r>
        <w:rPr>
          <w:rFonts w:eastAsia="楷体_GB2312"/>
          <w:color w:val="000000"/>
          <w:sz w:val="32"/>
          <w:szCs w:val="32"/>
        </w:rPr>
        <w:t>）</w:t>
      </w:r>
      <w:r>
        <w:rPr>
          <w:rFonts w:hint="eastAsia" w:eastAsia="楷体_GB2312"/>
          <w:color w:val="000000"/>
          <w:sz w:val="32"/>
          <w:szCs w:val="32"/>
        </w:rPr>
        <w:t>非医共体医疗机构</w:t>
      </w:r>
      <w:r>
        <w:rPr>
          <w:rFonts w:eastAsia="楷体_GB2312"/>
          <w:color w:val="000000"/>
          <w:sz w:val="32"/>
          <w:szCs w:val="32"/>
        </w:rPr>
        <w:t>医保</w:t>
      </w:r>
      <w:r>
        <w:rPr>
          <w:rFonts w:hint="eastAsia" w:eastAsia="楷体_GB2312"/>
          <w:color w:val="000000"/>
          <w:sz w:val="32"/>
          <w:szCs w:val="32"/>
        </w:rPr>
        <w:t>付费管理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仿宋_GB2312" w:hAnsi="仿宋_GB2312" w:eastAsia="仿宋_GB2312" w:cs="仿宋_GB2312"/>
          <w:color w:val="000000"/>
          <w:sz w:val="32"/>
          <w:szCs w:val="32"/>
        </w:rPr>
        <w:t>8.探索完善非医共体医疗机构付费</w:t>
      </w:r>
      <w:r>
        <w:rPr>
          <w:rFonts w:hint="eastAsia" w:eastAsia="仿宋_GB2312"/>
          <w:sz w:val="32"/>
          <w:szCs w:val="32"/>
        </w:rPr>
        <w:t>方式。在继续执行按服务单元、按人头、按病种、按定额等付费的基础上，结合基金支出、服务人头数变化作为控费重要衡量标准。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（1）实施门诊按定额付费的仅提供门诊服务的医疗机构，继续按慈</w:t>
      </w:r>
      <w:r>
        <w:rPr>
          <w:rFonts w:hint="eastAsia" w:ascii="仿宋_GB2312" w:hAnsi="ˎ̥" w:eastAsia="仿宋_GB2312"/>
          <w:sz w:val="32"/>
          <w:szCs w:val="32"/>
        </w:rPr>
        <w:t>人社发〔2017〕23号</w:t>
      </w:r>
      <w:r>
        <w:rPr>
          <w:rFonts w:hint="eastAsia" w:eastAsia="仿宋_GB2312"/>
          <w:sz w:val="32"/>
          <w:szCs w:val="32"/>
        </w:rPr>
        <w:t>文件实施定额付费，对于年度服务人头数下降明显的，核减一定比例定额。</w:t>
      </w:r>
    </w:p>
    <w:p>
      <w:pPr>
        <w:keepNext w:val="0"/>
        <w:keepLines w:val="0"/>
        <w:pageBreakBefore w:val="0"/>
        <w:widowControl w:val="0"/>
        <w:kinsoku/>
        <w:wordWrap/>
        <w:overflowPunct/>
        <w:topLinePunct w:val="0"/>
        <w:autoSpaceDE/>
        <w:autoSpaceDN/>
        <w:bidi w:val="0"/>
        <w:adjustRightInd w:val="0"/>
        <w:snapToGrid w:val="0"/>
        <w:spacing w:line="560" w:lineRule="exact"/>
        <w:ind w:firstLine="644"/>
        <w:textAlignment w:val="auto"/>
        <w:rPr>
          <w:rFonts w:eastAsia="仿宋_GB2312"/>
          <w:sz w:val="32"/>
          <w:szCs w:val="32"/>
        </w:rPr>
      </w:pPr>
      <w:r>
        <w:rPr>
          <w:rFonts w:hint="eastAsia" w:eastAsia="仿宋_GB2312"/>
          <w:sz w:val="32"/>
          <w:szCs w:val="32"/>
        </w:rPr>
        <w:t>（2）其他医疗机构继续执行</w:t>
      </w:r>
      <w:r>
        <w:rPr>
          <w:rFonts w:hint="eastAsia" w:ascii="仿宋_GB2312" w:hAnsi="ˎ̥" w:eastAsia="仿宋_GB2312"/>
          <w:sz w:val="32"/>
          <w:szCs w:val="32"/>
        </w:rPr>
        <w:t>甬人社发〔2014〕92号及相关规定，并</w:t>
      </w:r>
      <w:r>
        <w:rPr>
          <w:rFonts w:hint="eastAsia" w:eastAsia="仿宋_GB2312"/>
          <w:sz w:val="32"/>
          <w:szCs w:val="32"/>
        </w:rPr>
        <w:t>与医疗机构年度医保基金增幅挂钩，增幅</w:t>
      </w:r>
      <w:r>
        <w:rPr>
          <w:rFonts w:hint="eastAsia" w:ascii="仿宋_GB2312" w:hAnsi="ˎ̥" w:eastAsia="仿宋_GB2312"/>
          <w:sz w:val="32"/>
          <w:szCs w:val="32"/>
        </w:rPr>
        <w:t>超过年初确定的基金支出增长率的，</w:t>
      </w:r>
      <w:r>
        <w:rPr>
          <w:rFonts w:hint="eastAsia" w:eastAsia="仿宋_GB2312"/>
          <w:sz w:val="32"/>
          <w:szCs w:val="32"/>
        </w:rPr>
        <w:t>核减一定比例的统算</w:t>
      </w:r>
      <w:r>
        <w:rPr>
          <w:rFonts w:eastAsia="仿宋_GB2312"/>
          <w:sz w:val="32"/>
          <w:szCs w:val="32"/>
        </w:rPr>
        <w:t>额</w:t>
      </w:r>
      <w:r>
        <w:rPr>
          <w:rFonts w:hint="eastAsia" w:eastAsia="仿宋_GB2312"/>
          <w:sz w:val="32"/>
          <w:szCs w:val="32"/>
        </w:rPr>
        <w:t>。 医疗机构因新开业、合并等原因，经付费联席会议商定，年度医保基金增幅因素可适当调整。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四</w:t>
      </w:r>
      <w:r>
        <w:rPr>
          <w:rFonts w:eastAsia="楷体_GB2312"/>
          <w:color w:val="000000"/>
          <w:sz w:val="32"/>
          <w:szCs w:val="32"/>
        </w:rPr>
        <w:t>）</w:t>
      </w:r>
      <w:r>
        <w:rPr>
          <w:rFonts w:hint="eastAsia" w:eastAsia="楷体_GB2312"/>
          <w:color w:val="000000"/>
          <w:sz w:val="32"/>
          <w:szCs w:val="32"/>
        </w:rPr>
        <w:t>协同规范医保诊疗服务行为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000000"/>
          <w:sz w:val="32"/>
          <w:szCs w:val="32"/>
        </w:rPr>
        <w:t>9.</w:t>
      </w:r>
      <w:r>
        <w:rPr>
          <w:rFonts w:hint="eastAsia" w:ascii="仿宋_GB2312" w:eastAsia="仿宋_GB2312"/>
          <w:sz w:val="32"/>
          <w:szCs w:val="32"/>
        </w:rPr>
        <w:t>各医共体、各定点医疗机构依照诊疗规范，因病施治，</w:t>
      </w:r>
      <w:r>
        <w:rPr>
          <w:rFonts w:hint="eastAsia" w:ascii="仿宋_GB2312" w:hAnsi="仿宋" w:eastAsia="仿宋_GB2312" w:cs="仿宋"/>
          <w:color w:val="000000"/>
          <w:kern w:val="0"/>
          <w:sz w:val="32"/>
          <w:szCs w:val="32"/>
        </w:rPr>
        <w:t>对于</w:t>
      </w:r>
      <w:r>
        <w:rPr>
          <w:rFonts w:hint="eastAsia" w:ascii="仿宋_GB2312" w:eastAsia="仿宋_GB2312"/>
          <w:sz w:val="32"/>
          <w:szCs w:val="32"/>
        </w:rPr>
        <w:t>不同医共体的病人不能区别对待，严格</w:t>
      </w:r>
      <w:r>
        <w:rPr>
          <w:rFonts w:hint="eastAsia" w:ascii="仿宋_GB2312" w:hAnsi="仿宋" w:eastAsia="仿宋_GB2312" w:cs="仿宋"/>
          <w:color w:val="000000"/>
          <w:kern w:val="0"/>
          <w:sz w:val="32"/>
          <w:szCs w:val="32"/>
        </w:rPr>
        <w:t>控制区域内医疗总费用的不合理增长。</w:t>
      </w:r>
      <w:r>
        <w:rPr>
          <w:rFonts w:hint="eastAsia" w:ascii="仿宋_GB2312" w:eastAsia="仿宋_GB2312"/>
          <w:sz w:val="32"/>
          <w:szCs w:val="32"/>
        </w:rPr>
        <w:t>慈林医院要加强对观海卫第二社区卫生服务中心诊疗服务规范的管理。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000000"/>
          <w:sz w:val="32"/>
          <w:szCs w:val="32"/>
        </w:rPr>
        <w:t>医共体要掌握分析分配服务人群医疗费用发生情况，对于</w:t>
      </w:r>
      <w:r>
        <w:rPr>
          <w:rFonts w:hint="eastAsia" w:ascii="仿宋_GB2312" w:eastAsia="仿宋_GB2312"/>
          <w:sz w:val="32"/>
          <w:szCs w:val="32"/>
        </w:rPr>
        <w:t>在其他医共体（或医疗机构）发生的医疗费用，医共体可以提出质疑，经数据分析，确实存在不合理情况的，经付费联席会议商议，调整（拒付或追回）相关医保付费额。</w:t>
      </w:r>
    </w:p>
    <w:p>
      <w:pPr>
        <w:keepNext w:val="0"/>
        <w:keepLines w:val="0"/>
        <w:pageBreakBefore w:val="0"/>
        <w:widowControl w:val="0"/>
        <w:kinsoku/>
        <w:wordWrap/>
        <w:overflowPunct/>
        <w:topLinePunct w:val="0"/>
        <w:autoSpaceDE/>
        <w:autoSpaceDN/>
        <w:bidi w:val="0"/>
        <w:adjustRightInd w:val="0"/>
        <w:snapToGrid w:val="0"/>
        <w:spacing w:line="560" w:lineRule="exact"/>
        <w:ind w:left="355" w:leftChars="169"/>
        <w:textAlignment w:val="auto"/>
        <w:rPr>
          <w:rFonts w:eastAsia="黑体"/>
          <w:sz w:val="32"/>
          <w:szCs w:val="32"/>
        </w:rPr>
      </w:pPr>
      <w:r>
        <w:rPr>
          <w:rFonts w:hint="eastAsia" w:eastAsia="黑体"/>
          <w:sz w:val="32"/>
          <w:szCs w:val="32"/>
        </w:rPr>
        <w:t>　四、财务</w:t>
      </w:r>
      <w:r>
        <w:rPr>
          <w:rFonts w:eastAsia="黑体"/>
          <w:sz w:val="32"/>
          <w:szCs w:val="32"/>
        </w:rPr>
        <w:t>结算</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eastAsia="仿宋_GB2312"/>
          <w:sz w:val="32"/>
          <w:szCs w:val="32"/>
        </w:rPr>
      </w:pPr>
      <w:r>
        <w:rPr>
          <w:rFonts w:eastAsia="楷体_GB2312"/>
          <w:b/>
          <w:bCs/>
          <w:sz w:val="32"/>
          <w:szCs w:val="32"/>
        </w:rPr>
        <w:t xml:space="preserve"> </w:t>
      </w:r>
      <w:r>
        <w:rPr>
          <w:rFonts w:hint="eastAsia" w:ascii="楷体_GB2312" w:eastAsia="楷体_GB2312"/>
          <w:bCs/>
          <w:sz w:val="32"/>
          <w:szCs w:val="32"/>
        </w:rPr>
        <w:t>（一）按月结算。</w:t>
      </w:r>
      <w:r>
        <w:rPr>
          <w:rFonts w:eastAsia="仿宋_GB2312"/>
          <w:sz w:val="32"/>
          <w:szCs w:val="32"/>
        </w:rPr>
        <w:t>医共体内</w:t>
      </w:r>
      <w:r>
        <w:rPr>
          <w:rFonts w:hint="eastAsia" w:eastAsia="仿宋_GB2312"/>
          <w:sz w:val="32"/>
          <w:szCs w:val="32"/>
        </w:rPr>
        <w:t>各</w:t>
      </w:r>
      <w:r>
        <w:rPr>
          <w:rFonts w:eastAsia="仿宋_GB2312"/>
          <w:sz w:val="32"/>
          <w:szCs w:val="32"/>
        </w:rPr>
        <w:t>医疗机构每月结报时，结算材料</w:t>
      </w:r>
      <w:r>
        <w:rPr>
          <w:rFonts w:hint="eastAsia" w:eastAsia="仿宋_GB2312"/>
          <w:sz w:val="32"/>
          <w:szCs w:val="32"/>
        </w:rPr>
        <w:t>提</w:t>
      </w:r>
      <w:r>
        <w:rPr>
          <w:rFonts w:eastAsia="仿宋_GB2312"/>
          <w:sz w:val="32"/>
          <w:szCs w:val="32"/>
        </w:rPr>
        <w:t>交其医共体牵头单位审核，经各医共体牵头单位审核汇总后于每月</w:t>
      </w:r>
      <w:r>
        <w:rPr>
          <w:rFonts w:hint="eastAsia" w:eastAsia="仿宋_GB2312"/>
          <w:sz w:val="32"/>
          <w:szCs w:val="32"/>
        </w:rPr>
        <w:t>10日前</w:t>
      </w:r>
      <w:r>
        <w:rPr>
          <w:rFonts w:eastAsia="仿宋_GB2312"/>
          <w:sz w:val="32"/>
          <w:szCs w:val="32"/>
        </w:rPr>
        <w:t>将上月费用结算材料报送医保经办机构</w:t>
      </w:r>
      <w:r>
        <w:rPr>
          <w:rFonts w:hint="eastAsia" w:eastAsia="仿宋_GB2312"/>
          <w:sz w:val="32"/>
          <w:szCs w:val="32"/>
        </w:rPr>
        <w:t>。医保经办机构按以下办法拔付给医共体：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r>
        <w:rPr>
          <w:rFonts w:hint="eastAsia" w:eastAsia="仿宋_GB2312"/>
          <w:sz w:val="32"/>
          <w:szCs w:val="32"/>
        </w:rPr>
        <w:t>1.年度内包干参保人员累计发生医疗费在年初下达医疗费总额 100%以内的，按医保应支付额100%预拨付；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r>
        <w:rPr>
          <w:rFonts w:hint="eastAsia" w:eastAsia="仿宋_GB2312"/>
          <w:sz w:val="32"/>
          <w:szCs w:val="32"/>
        </w:rPr>
        <w:t>2.年度内包干参保人员累计发生医疗费超过年初下达医疗费总额 100%的，次月起按医保应支付额80%预拨付；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sz w:val="32"/>
          <w:szCs w:val="32"/>
        </w:rPr>
      </w:pPr>
      <w:r>
        <w:rPr>
          <w:rFonts w:hint="eastAsia" w:eastAsia="仿宋_GB2312"/>
          <w:sz w:val="32"/>
          <w:szCs w:val="32"/>
        </w:rPr>
        <w:t>医保经办机构按月生成医共体医保</w:t>
      </w:r>
      <w:r>
        <w:rPr>
          <w:rFonts w:hint="eastAsia" w:ascii="仿宋_GB2312" w:hAnsi="仿宋_GB2312" w:eastAsia="仿宋_GB2312" w:cs="仿宋_GB2312"/>
          <w:color w:val="000000"/>
          <w:sz w:val="32"/>
          <w:szCs w:val="32"/>
        </w:rPr>
        <w:t>基金总额预算余额情况（分门诊和住院），通报医共体。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r>
        <w:rPr>
          <w:rFonts w:hint="eastAsia" w:eastAsia="仿宋_GB2312"/>
          <w:sz w:val="32"/>
          <w:szCs w:val="32"/>
        </w:rPr>
        <w:t>医共体医保</w:t>
      </w:r>
      <w:r>
        <w:rPr>
          <w:rFonts w:hint="eastAsia" w:ascii="仿宋_GB2312" w:hAnsi="仿宋_GB2312" w:eastAsia="仿宋_GB2312" w:cs="仿宋_GB2312"/>
          <w:color w:val="000000"/>
          <w:sz w:val="32"/>
          <w:szCs w:val="32"/>
        </w:rPr>
        <w:t>基金总额预算余额＝年初下达预算总额-已支付医共体包干参保人员发生的基金支付-包干参保人员在其他医共体、医药机构发生的基金支付-包干参保人员零星报销基金支付</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eastAsia="仿宋_GB2312"/>
          <w:b/>
          <w:bCs/>
          <w:sz w:val="32"/>
          <w:szCs w:val="32"/>
        </w:rPr>
      </w:pPr>
      <w:r>
        <w:rPr>
          <w:rFonts w:hint="eastAsia" w:eastAsia="仿宋_GB2312"/>
          <w:b/>
          <w:bCs/>
          <w:sz w:val="32"/>
          <w:szCs w:val="32"/>
        </w:rPr>
        <w:t>　　</w:t>
      </w:r>
      <w:r>
        <w:rPr>
          <w:rFonts w:hint="eastAsia" w:ascii="楷体_GB2312" w:eastAsia="楷体_GB2312"/>
          <w:bCs/>
          <w:sz w:val="32"/>
          <w:szCs w:val="32"/>
        </w:rPr>
        <w:t>（二）年度决算。</w:t>
      </w:r>
      <w:r>
        <w:rPr>
          <w:rFonts w:hint="eastAsia" w:eastAsia="仿宋_GB2312"/>
          <w:sz w:val="32"/>
          <w:szCs w:val="32"/>
        </w:rPr>
        <w:t>医共体</w:t>
      </w:r>
      <w:r>
        <w:rPr>
          <w:rFonts w:hint="eastAsia" w:eastAsia="仿宋_GB2312"/>
          <w:sz w:val="32"/>
          <w:szCs w:val="32"/>
          <w:lang w:eastAsia="zh-CN"/>
        </w:rPr>
        <w:t>年度</w:t>
      </w:r>
      <w:r>
        <w:rPr>
          <w:rFonts w:hint="eastAsia" w:eastAsia="仿宋_GB2312"/>
          <w:sz w:val="32"/>
          <w:szCs w:val="32"/>
        </w:rPr>
        <w:t>总医疗费用增幅在10%以内的，医保经办机构按基金包干总额结算；超过10%的，适当调整留用分担比例，具体办法经医保付费联席会议会商后确定。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42"/>
        <w:textAlignment w:val="auto"/>
        <w:rPr>
          <w:rFonts w:hint="eastAsia" w:ascii="仿宋_GB2312" w:eastAsia="仿宋_GB2312"/>
          <w:sz w:val="32"/>
          <w:szCs w:val="32"/>
        </w:rPr>
      </w:pPr>
      <w:r>
        <w:rPr>
          <w:rFonts w:hint="eastAsia" w:ascii="仿宋_GB2312" w:eastAsia="仿宋_GB2312"/>
          <w:bCs/>
          <w:sz w:val="32"/>
          <w:szCs w:val="32"/>
        </w:rPr>
        <w:t>根据“结余留用、超支分担”的原则，</w:t>
      </w:r>
      <w:r>
        <w:rPr>
          <w:rFonts w:hint="eastAsia" w:ascii="仿宋_GB2312" w:eastAsia="仿宋_GB2312"/>
          <w:sz w:val="32"/>
          <w:szCs w:val="32"/>
        </w:rPr>
        <w:t>年度结束后3个月以内，医保经办机构对各医共体上年度的医疗费用进行清算。</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楷体_GB2312" w:eastAsia="楷体_GB2312"/>
          <w:sz w:val="32"/>
          <w:szCs w:val="32"/>
        </w:rPr>
        <w:t>其他</w:t>
      </w:r>
      <w:r>
        <w:rPr>
          <w:rFonts w:hint="eastAsia" w:ascii="楷体_GB2312" w:eastAsia="楷体_GB2312"/>
          <w:sz w:val="32"/>
          <w:szCs w:val="32"/>
          <w:lang w:eastAsia="zh-CN"/>
        </w:rPr>
        <w:t>医疗</w:t>
      </w:r>
      <w:r>
        <w:rPr>
          <w:rFonts w:hint="eastAsia" w:ascii="楷体_GB2312" w:eastAsia="楷体_GB2312"/>
          <w:sz w:val="32"/>
          <w:szCs w:val="32"/>
        </w:rPr>
        <w:t>机构 。</w:t>
      </w:r>
      <w:r>
        <w:rPr>
          <w:rFonts w:hint="eastAsia" w:eastAsia="仿宋_GB2312"/>
          <w:sz w:val="32"/>
          <w:szCs w:val="32"/>
        </w:rPr>
        <w:t>在继续按原结算办法的基础上，根据服务人头数、基金支出增幅情况，调整统算额度。</w:t>
      </w:r>
    </w:p>
    <w:p>
      <w:pPr>
        <w:keepNext w:val="0"/>
        <w:keepLines w:val="0"/>
        <w:pageBreakBefore w:val="0"/>
        <w:widowControl w:val="0"/>
        <w:kinsoku/>
        <w:wordWrap/>
        <w:overflowPunct/>
        <w:topLinePunct w:val="0"/>
        <w:autoSpaceDE/>
        <w:autoSpaceDN/>
        <w:bidi w:val="0"/>
        <w:spacing w:line="560" w:lineRule="exact"/>
        <w:textAlignment w:val="auto"/>
        <w:rPr>
          <w:rFonts w:eastAsia="仿宋_GB2312"/>
          <w:sz w:val="32"/>
          <w:szCs w:val="32"/>
        </w:rPr>
      </w:pPr>
      <w:r>
        <w:rPr>
          <w:rFonts w:hint="eastAsia" w:eastAsia="仿宋_GB2312"/>
          <w:sz w:val="32"/>
          <w:szCs w:val="32"/>
        </w:rPr>
        <w:t>　　1.实施门诊按定额付费的仅提供门诊服务的医疗机构，服务人头数与上年相比，减少5%以上的，以上部分，每多下降１个百分点，定额核减１个百分点。</w:t>
      </w:r>
    </w:p>
    <w:p>
      <w:pPr>
        <w:keepNext w:val="0"/>
        <w:keepLines w:val="0"/>
        <w:pageBreakBefore w:val="0"/>
        <w:widowControl w:val="0"/>
        <w:kinsoku/>
        <w:wordWrap/>
        <w:overflowPunct/>
        <w:topLinePunct w:val="0"/>
        <w:autoSpaceDE/>
        <w:autoSpaceDN/>
        <w:bidi w:val="0"/>
        <w:adjustRightInd w:val="0"/>
        <w:snapToGrid w:val="0"/>
        <w:spacing w:line="560" w:lineRule="exact"/>
        <w:ind w:firstLine="644"/>
        <w:textAlignment w:val="auto"/>
        <w:rPr>
          <w:rFonts w:eastAsia="仿宋_GB2312"/>
          <w:sz w:val="32"/>
          <w:szCs w:val="32"/>
        </w:rPr>
      </w:pPr>
      <w:r>
        <w:rPr>
          <w:rFonts w:hint="eastAsia" w:eastAsia="仿宋_GB2312"/>
          <w:sz w:val="32"/>
          <w:szCs w:val="32"/>
        </w:rPr>
        <w:t>2.其他医疗机构年度基金支出增幅，</w:t>
      </w:r>
      <w:r>
        <w:rPr>
          <w:rFonts w:hint="eastAsia" w:ascii="仿宋_GB2312" w:hAnsi="ˎ̥" w:eastAsia="仿宋_GB2312"/>
          <w:sz w:val="32"/>
          <w:szCs w:val="32"/>
        </w:rPr>
        <w:t>超过全市年初确定的基金支出增长率的，超过部分</w:t>
      </w:r>
      <w:r>
        <w:rPr>
          <w:rFonts w:hint="eastAsia" w:eastAsia="仿宋_GB2312"/>
          <w:sz w:val="32"/>
          <w:szCs w:val="32"/>
        </w:rPr>
        <w:t>每增加3个百分点，核减统算</w:t>
      </w:r>
      <w:r>
        <w:rPr>
          <w:rFonts w:eastAsia="仿宋_GB2312"/>
          <w:sz w:val="32"/>
          <w:szCs w:val="32"/>
        </w:rPr>
        <w:t>额</w:t>
      </w:r>
      <w:r>
        <w:rPr>
          <w:rFonts w:hint="eastAsia" w:eastAsia="仿宋_GB2312"/>
          <w:sz w:val="32"/>
          <w:szCs w:val="32"/>
        </w:rPr>
        <w:t>1个百分点。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color w:val="000000"/>
          <w:sz w:val="32"/>
          <w:szCs w:val="32"/>
        </w:rPr>
      </w:pPr>
      <w:r>
        <w:rPr>
          <w:rFonts w:hint="eastAsia" w:eastAsia="黑体"/>
          <w:sz w:val="32"/>
          <w:szCs w:val="32"/>
        </w:rPr>
        <w:t>五、工作要求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eastAsia="楷体_GB2312"/>
          <w:color w:val="000000"/>
          <w:sz w:val="32"/>
          <w:szCs w:val="32"/>
        </w:rPr>
        <w:t>（一）明确责任分工。</w:t>
      </w:r>
      <w:r>
        <w:rPr>
          <w:rFonts w:hint="eastAsia" w:eastAsia="仿宋_GB2312"/>
          <w:sz w:val="32"/>
          <w:szCs w:val="32"/>
        </w:rPr>
        <w:t>医保部门牵头组织实施医共体支付方式改革工作，监督指导医共体支付方式改革推进工作。卫生健康部门要加强基层医疗卫生机构服务能力建设，优化医疗机构绩效评价，控制医保总费用及医保目录外自费费用过快增长，完善与医共体支付方式改革相匹配的考核办法，制定并实施分级诊疗目录和双向转诊管理办法。财政部门要将改革成效作为县域医共体建设奖补资金分配的重要因素。人力社保部门要根据改革绩效，建立适合医共体支付方式改革的薪酬制度，支持医疗保险从业人员开展专业技术职务任职资格的评价工作。药品监管部门负责药品质量监督管理，督促企业落实药品质量安全主体责任，推动零售药店积极配合医共体支付方式改革。医共体牵头医院负责完善医保绩效考核及分配制度等相关配套管理办法，完善基于DRGs的财务管理、成本管理、质量管理；加强医保、质控、信息化等专业技术人员队伍能力建设；规范填写病案首页，准确上传明细数据和诊疗信息；加强对其包干的参保人员的就诊费用的核查，依规引导参保人员在基层就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color w:val="000000"/>
          <w:sz w:val="32"/>
          <w:szCs w:val="32"/>
        </w:rPr>
      </w:pPr>
      <w:r>
        <w:rPr>
          <w:rFonts w:eastAsia="楷体_GB2312"/>
          <w:color w:val="000000"/>
          <w:sz w:val="32"/>
          <w:szCs w:val="32"/>
        </w:rPr>
        <w:t>（</w:t>
      </w:r>
      <w:r>
        <w:rPr>
          <w:rFonts w:hint="eastAsia" w:eastAsia="楷体_GB2312"/>
          <w:color w:val="000000"/>
          <w:sz w:val="32"/>
          <w:szCs w:val="32"/>
        </w:rPr>
        <w:t>二</w:t>
      </w:r>
      <w:r>
        <w:rPr>
          <w:rFonts w:eastAsia="楷体_GB2312"/>
          <w:color w:val="000000"/>
          <w:sz w:val="32"/>
          <w:szCs w:val="32"/>
        </w:rPr>
        <w:t>）严格监督检查。</w:t>
      </w:r>
      <w:r>
        <w:rPr>
          <w:rFonts w:hint="eastAsia" w:eastAsia="仿宋_GB2312"/>
          <w:sz w:val="32"/>
          <w:szCs w:val="32"/>
        </w:rPr>
        <w:t>医保部门要会同有关部门，通过调研、专项督查、定期评估等方式，及时总结推广医保付费管理经验，指导医共体及其他医疗机构落实付费方式改革工作。对督查中发现的问题，相关部门、单位要列出清单、明确责任、限时整改</w:t>
      </w:r>
      <w:r>
        <w:rPr>
          <w:rFonts w:eastAsia="仿宋_GB2312"/>
          <w:color w:val="00000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楷体_GB2312"/>
          <w:color w:val="000000"/>
          <w:sz w:val="32"/>
          <w:szCs w:val="32"/>
        </w:rPr>
        <w:t>（</w:t>
      </w:r>
      <w:r>
        <w:rPr>
          <w:rFonts w:hint="eastAsia" w:eastAsia="楷体_GB2312"/>
          <w:color w:val="000000"/>
          <w:sz w:val="32"/>
          <w:szCs w:val="32"/>
        </w:rPr>
        <w:t>三</w:t>
      </w:r>
      <w:r>
        <w:rPr>
          <w:rFonts w:eastAsia="楷体_GB2312"/>
          <w:color w:val="000000"/>
          <w:sz w:val="32"/>
          <w:szCs w:val="32"/>
        </w:rPr>
        <w:t>）强化宣传培训。</w:t>
      </w:r>
      <w:r>
        <w:rPr>
          <w:rFonts w:hint="eastAsia" w:eastAsia="仿宋_GB2312"/>
          <w:sz w:val="32"/>
          <w:szCs w:val="32"/>
        </w:rPr>
        <w:t>医保、卫生健康等相关部门要充分发挥公共媒体作用，加强对医共体支付方式改革的宣传，积极向广大群众和医疗机构宣讲改革政策；各医共体牵头医院要加强对医保医师及相关医务人员的政策培训，交流改革成果，共同营造改革的良好氛围。</w:t>
      </w:r>
    </w:p>
    <w:p>
      <w:pPr>
        <w:keepNext w:val="0"/>
        <w:keepLines w:val="0"/>
        <w:pageBreakBefore w:val="0"/>
        <w:widowControl w:val="0"/>
        <w:kinsoku/>
        <w:wordWrap/>
        <w:overflowPunct/>
        <w:topLinePunct w:val="0"/>
        <w:autoSpaceDE/>
        <w:autoSpaceDN/>
        <w:bidi w:val="0"/>
        <w:adjustRightInd w:val="0"/>
        <w:snapToGrid w:val="0"/>
        <w:spacing w:line="560" w:lineRule="exact"/>
        <w:ind w:firstLine="651"/>
        <w:textAlignment w:val="auto"/>
        <w:rPr>
          <w:rFonts w:eastAsia="仿宋_GB2312"/>
          <w:sz w:val="32"/>
          <w:szCs w:val="32"/>
        </w:rPr>
      </w:pPr>
      <w:r>
        <w:rPr>
          <w:rFonts w:hint="eastAsia" w:eastAsia="仿宋_GB2312"/>
          <w:sz w:val="32"/>
          <w:szCs w:val="32"/>
        </w:rPr>
        <w:t>本办法自2020年1月1日施行，其中职工基本医疗保险自2020年5月1日实施</w:t>
      </w:r>
      <w:r>
        <w:rPr>
          <w:rFonts w:eastAsia="仿宋_GB2312"/>
          <w:sz w:val="32"/>
          <w:szCs w:val="32"/>
        </w:rPr>
        <w:t>。</w:t>
      </w:r>
    </w:p>
    <w:p>
      <w:pPr>
        <w:spacing w:line="600" w:lineRule="exact"/>
        <w:jc w:val="left"/>
        <w:rPr>
          <w:rFonts w:ascii="仿宋_GB2312" w:hAnsi="仿宋_GB2312" w:eastAsia="仿宋_GB2312" w:cs="仿宋_GB2312"/>
          <w:sz w:val="30"/>
          <w:szCs w:val="30"/>
        </w:rPr>
      </w:pPr>
    </w:p>
    <w:p>
      <w:pPr>
        <w:spacing w:line="600" w:lineRule="exact"/>
        <w:jc w:val="left"/>
        <w:rPr>
          <w:rFonts w:ascii="仿宋_GB2312" w:hAnsi="仿宋_GB2312" w:eastAsia="仿宋_GB2312" w:cs="仿宋_GB2312"/>
          <w:sz w:val="30"/>
          <w:szCs w:val="30"/>
        </w:rPr>
      </w:pPr>
    </w:p>
    <w:tbl>
      <w:tblPr>
        <w:tblStyle w:val="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748" w:type="dxa"/>
            <w:tcBorders>
              <w:left w:val="nil"/>
              <w:right w:val="nil"/>
            </w:tcBorders>
            <w:vAlign w:val="center"/>
          </w:tcPr>
          <w:p>
            <w:pPr>
              <w:spacing w:line="500" w:lineRule="exact"/>
              <w:ind w:firstLine="140" w:firstLineChars="50"/>
              <w:rPr>
                <w:rFonts w:hint="eastAsia" w:ascii="仿宋_GB2312" w:eastAsia="仿宋_GB2312"/>
                <w:sz w:val="28"/>
                <w:szCs w:val="28"/>
                <w:lang w:eastAsia="zh-CN"/>
              </w:rPr>
            </w:pPr>
            <w:r>
              <w:rPr>
                <w:rFonts w:hint="eastAsia" w:ascii="仿宋_GB2312" w:eastAsia="仿宋_GB2312"/>
                <w:sz w:val="28"/>
                <w:szCs w:val="28"/>
                <w:lang w:eastAsia="zh-CN"/>
              </w:rPr>
              <w:t>抄送：宁波市医疗保障局、宁波杭州湾新区管委会办公室。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748" w:type="dxa"/>
            <w:tcBorders>
              <w:left w:val="nil"/>
              <w:right w:val="nil"/>
            </w:tcBorders>
            <w:vAlign w:val="center"/>
          </w:tcPr>
          <w:p>
            <w:pPr>
              <w:spacing w:line="500" w:lineRule="exact"/>
              <w:ind w:firstLine="140" w:firstLineChars="50"/>
              <w:rPr>
                <w:sz w:val="28"/>
                <w:szCs w:val="28"/>
              </w:rPr>
            </w:pPr>
            <w:r>
              <w:rPr>
                <w:rFonts w:hint="eastAsia" w:ascii="仿宋_GB2312" w:eastAsia="仿宋_GB2312"/>
                <w:sz w:val="28"/>
                <w:szCs w:val="28"/>
              </w:rPr>
              <w:t xml:space="preserve">慈溪市医疗保障局办公室                  </w:t>
            </w:r>
            <w:r>
              <w:rPr>
                <w:rFonts w:ascii="仿宋_GB2312" w:eastAsia="仿宋_GB2312"/>
                <w:sz w:val="28"/>
                <w:szCs w:val="28"/>
              </w:rPr>
              <w:t>20</w:t>
            </w:r>
            <w:r>
              <w:rPr>
                <w:rFonts w:hint="eastAsia" w:ascii="仿宋_GB2312" w:eastAsia="仿宋_GB2312"/>
                <w:sz w:val="28"/>
                <w:szCs w:val="28"/>
              </w:rPr>
              <w:t>19</w:t>
            </w:r>
            <w:r>
              <w:rPr>
                <w:rFonts w:ascii="仿宋_GB2312" w:eastAsia="仿宋_GB2312"/>
                <w:sz w:val="28"/>
                <w:szCs w:val="28"/>
              </w:rPr>
              <w:t>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18</w:t>
            </w:r>
            <w:r>
              <w:rPr>
                <w:rFonts w:ascii="仿宋_GB2312" w:eastAsia="仿宋_GB2312"/>
                <w:sz w:val="28"/>
                <w:szCs w:val="28"/>
              </w:rPr>
              <w:t>日印发</w:t>
            </w:r>
          </w:p>
        </w:tc>
      </w:tr>
    </w:tbl>
    <w:p>
      <w:pPr>
        <w:tabs>
          <w:tab w:val="left" w:pos="180"/>
          <w:tab w:val="left" w:pos="540"/>
          <w:tab w:val="left" w:pos="7920"/>
          <w:tab w:val="left" w:pos="8100"/>
        </w:tabs>
        <w:spacing w:line="560" w:lineRule="exact"/>
        <w:rPr>
          <w:rFonts w:ascii="仿宋_GB2312" w:hAnsi="Calibri" w:eastAsia="仿宋_GB2312" w:cs="Calibri"/>
          <w:sz w:val="32"/>
          <w:szCs w:val="32"/>
        </w:rPr>
      </w:pPr>
    </w:p>
    <w:sectPr>
      <w:headerReference r:id="rId3" w:type="default"/>
      <w:headerReference r:id="rId4" w:type="even"/>
      <w:pgSz w:w="11906" w:h="16838"/>
      <w:pgMar w:top="2098" w:right="1474" w:bottom="1985" w:left="1588" w:header="851" w:footer="992" w:gutter="0"/>
      <w:cols w:space="425" w:num="1"/>
      <w:docGrid w:type="lines" w:linePitch="318" w:charSpace="117"/>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altName w:val="Arial Unicode MS"/>
    <w:panose1 w:val="00000000000000000000"/>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1109B"/>
    <w:multiLevelType w:val="singleLevel"/>
    <w:tmpl w:val="3411109B"/>
    <w:lvl w:ilvl="0" w:tentative="0">
      <w:start w:val="1"/>
      <w:numFmt w:val="chineseCounting"/>
      <w:suff w:val="nothing"/>
      <w:lvlText w:val="%1、"/>
      <w:lvlJc w:val="left"/>
      <w:rPr>
        <w:rFonts w:hint="eastAsia"/>
      </w:rPr>
    </w:lvl>
  </w:abstractNum>
  <w:abstractNum w:abstractNumId="1">
    <w:nsid w:val="39B373B7"/>
    <w:multiLevelType w:val="singleLevel"/>
    <w:tmpl w:val="39B373B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627B"/>
    <w:rsid w:val="000053C3"/>
    <w:rsid w:val="000076F5"/>
    <w:rsid w:val="00007A78"/>
    <w:rsid w:val="000128D3"/>
    <w:rsid w:val="00016AD1"/>
    <w:rsid w:val="0002493D"/>
    <w:rsid w:val="000249B0"/>
    <w:rsid w:val="0002627B"/>
    <w:rsid w:val="00027833"/>
    <w:rsid w:val="00030A8A"/>
    <w:rsid w:val="00033B3A"/>
    <w:rsid w:val="000340F1"/>
    <w:rsid w:val="00034EB6"/>
    <w:rsid w:val="000365D4"/>
    <w:rsid w:val="00041340"/>
    <w:rsid w:val="00045FE6"/>
    <w:rsid w:val="00054A75"/>
    <w:rsid w:val="000558A9"/>
    <w:rsid w:val="0006077C"/>
    <w:rsid w:val="0006288C"/>
    <w:rsid w:val="000635CB"/>
    <w:rsid w:val="000646FB"/>
    <w:rsid w:val="000676E7"/>
    <w:rsid w:val="0007286D"/>
    <w:rsid w:val="00075D92"/>
    <w:rsid w:val="00077E02"/>
    <w:rsid w:val="00077FF8"/>
    <w:rsid w:val="000851F1"/>
    <w:rsid w:val="000876BD"/>
    <w:rsid w:val="00097DAB"/>
    <w:rsid w:val="000A0ED0"/>
    <w:rsid w:val="000A1825"/>
    <w:rsid w:val="000B1BF7"/>
    <w:rsid w:val="000C326B"/>
    <w:rsid w:val="000C5E74"/>
    <w:rsid w:val="000D1E68"/>
    <w:rsid w:val="000E01CA"/>
    <w:rsid w:val="000E4720"/>
    <w:rsid w:val="000F1187"/>
    <w:rsid w:val="000F68C7"/>
    <w:rsid w:val="000F77A5"/>
    <w:rsid w:val="001158C8"/>
    <w:rsid w:val="00115A24"/>
    <w:rsid w:val="0012270A"/>
    <w:rsid w:val="001334EA"/>
    <w:rsid w:val="001354B2"/>
    <w:rsid w:val="00135F2F"/>
    <w:rsid w:val="00137CEC"/>
    <w:rsid w:val="00143289"/>
    <w:rsid w:val="001457A5"/>
    <w:rsid w:val="00146279"/>
    <w:rsid w:val="001507B1"/>
    <w:rsid w:val="0015640B"/>
    <w:rsid w:val="001632C4"/>
    <w:rsid w:val="001671F6"/>
    <w:rsid w:val="00175260"/>
    <w:rsid w:val="00175D84"/>
    <w:rsid w:val="001807AE"/>
    <w:rsid w:val="0018147C"/>
    <w:rsid w:val="00181E23"/>
    <w:rsid w:val="00183337"/>
    <w:rsid w:val="001920F0"/>
    <w:rsid w:val="001B06DB"/>
    <w:rsid w:val="001B39C4"/>
    <w:rsid w:val="001B5A0A"/>
    <w:rsid w:val="001C2F0A"/>
    <w:rsid w:val="001C5ABF"/>
    <w:rsid w:val="001E4CD6"/>
    <w:rsid w:val="001E5036"/>
    <w:rsid w:val="001E673F"/>
    <w:rsid w:val="001E7DAE"/>
    <w:rsid w:val="001F1326"/>
    <w:rsid w:val="001F3F6F"/>
    <w:rsid w:val="001F4A99"/>
    <w:rsid w:val="00203B03"/>
    <w:rsid w:val="00203C10"/>
    <w:rsid w:val="00206C3D"/>
    <w:rsid w:val="0022190B"/>
    <w:rsid w:val="0022255A"/>
    <w:rsid w:val="0022660B"/>
    <w:rsid w:val="002348A8"/>
    <w:rsid w:val="00241A3D"/>
    <w:rsid w:val="00245345"/>
    <w:rsid w:val="00250EAD"/>
    <w:rsid w:val="00252D0D"/>
    <w:rsid w:val="002552F6"/>
    <w:rsid w:val="00256918"/>
    <w:rsid w:val="00256A81"/>
    <w:rsid w:val="002609F5"/>
    <w:rsid w:val="002640B4"/>
    <w:rsid w:val="00267B63"/>
    <w:rsid w:val="0027019B"/>
    <w:rsid w:val="00273982"/>
    <w:rsid w:val="00276879"/>
    <w:rsid w:val="00287DD4"/>
    <w:rsid w:val="002926FE"/>
    <w:rsid w:val="00294DE9"/>
    <w:rsid w:val="002967D6"/>
    <w:rsid w:val="00296CDF"/>
    <w:rsid w:val="002A1150"/>
    <w:rsid w:val="002A27F4"/>
    <w:rsid w:val="002A3368"/>
    <w:rsid w:val="002A6553"/>
    <w:rsid w:val="002A7083"/>
    <w:rsid w:val="002B2B4F"/>
    <w:rsid w:val="002B4CF2"/>
    <w:rsid w:val="002B5268"/>
    <w:rsid w:val="002B6B5B"/>
    <w:rsid w:val="002C1D9B"/>
    <w:rsid w:val="002C3C64"/>
    <w:rsid w:val="002D3AAE"/>
    <w:rsid w:val="002E212E"/>
    <w:rsid w:val="002F2707"/>
    <w:rsid w:val="002F6746"/>
    <w:rsid w:val="003015A2"/>
    <w:rsid w:val="00305FE6"/>
    <w:rsid w:val="00310EAF"/>
    <w:rsid w:val="003110D0"/>
    <w:rsid w:val="00323962"/>
    <w:rsid w:val="0033311F"/>
    <w:rsid w:val="00337E81"/>
    <w:rsid w:val="00341C3B"/>
    <w:rsid w:val="003422F9"/>
    <w:rsid w:val="00344A0F"/>
    <w:rsid w:val="00345588"/>
    <w:rsid w:val="00351A2F"/>
    <w:rsid w:val="00356E7E"/>
    <w:rsid w:val="00360FE4"/>
    <w:rsid w:val="00363633"/>
    <w:rsid w:val="00363E7E"/>
    <w:rsid w:val="003641BA"/>
    <w:rsid w:val="0037525A"/>
    <w:rsid w:val="00385E2A"/>
    <w:rsid w:val="003A1CC2"/>
    <w:rsid w:val="003A3D68"/>
    <w:rsid w:val="003A6C9F"/>
    <w:rsid w:val="003B3C7C"/>
    <w:rsid w:val="003B6E2C"/>
    <w:rsid w:val="003B7C75"/>
    <w:rsid w:val="003C3ACC"/>
    <w:rsid w:val="003C6055"/>
    <w:rsid w:val="003C7BF8"/>
    <w:rsid w:val="003E26BF"/>
    <w:rsid w:val="003E2C72"/>
    <w:rsid w:val="003F0C9B"/>
    <w:rsid w:val="003F153C"/>
    <w:rsid w:val="003F7360"/>
    <w:rsid w:val="00402194"/>
    <w:rsid w:val="00403825"/>
    <w:rsid w:val="00407074"/>
    <w:rsid w:val="00414C66"/>
    <w:rsid w:val="00415D9F"/>
    <w:rsid w:val="004169F5"/>
    <w:rsid w:val="00417C74"/>
    <w:rsid w:val="0042017E"/>
    <w:rsid w:val="004208A7"/>
    <w:rsid w:val="00422141"/>
    <w:rsid w:val="00423CC8"/>
    <w:rsid w:val="00432516"/>
    <w:rsid w:val="004339B4"/>
    <w:rsid w:val="00434E34"/>
    <w:rsid w:val="00437575"/>
    <w:rsid w:val="00437603"/>
    <w:rsid w:val="0044018E"/>
    <w:rsid w:val="004424A1"/>
    <w:rsid w:val="00447461"/>
    <w:rsid w:val="004646F7"/>
    <w:rsid w:val="004655FA"/>
    <w:rsid w:val="004667DE"/>
    <w:rsid w:val="00467E6F"/>
    <w:rsid w:val="00467EB6"/>
    <w:rsid w:val="00470E30"/>
    <w:rsid w:val="00471FC3"/>
    <w:rsid w:val="00476A05"/>
    <w:rsid w:val="00482578"/>
    <w:rsid w:val="0048426E"/>
    <w:rsid w:val="0048520A"/>
    <w:rsid w:val="00486EF0"/>
    <w:rsid w:val="004926F4"/>
    <w:rsid w:val="004926F8"/>
    <w:rsid w:val="004A0854"/>
    <w:rsid w:val="004A2729"/>
    <w:rsid w:val="004A3568"/>
    <w:rsid w:val="004A53A1"/>
    <w:rsid w:val="004A555E"/>
    <w:rsid w:val="004A61F0"/>
    <w:rsid w:val="004A6409"/>
    <w:rsid w:val="004A738D"/>
    <w:rsid w:val="004B1DEB"/>
    <w:rsid w:val="004B386D"/>
    <w:rsid w:val="004B576D"/>
    <w:rsid w:val="004C2DF5"/>
    <w:rsid w:val="004D60CA"/>
    <w:rsid w:val="004D63CA"/>
    <w:rsid w:val="004E4743"/>
    <w:rsid w:val="004E629B"/>
    <w:rsid w:val="004F1F25"/>
    <w:rsid w:val="004F4A12"/>
    <w:rsid w:val="00500B2E"/>
    <w:rsid w:val="0050141D"/>
    <w:rsid w:val="00504718"/>
    <w:rsid w:val="00506CD3"/>
    <w:rsid w:val="00507314"/>
    <w:rsid w:val="0051104F"/>
    <w:rsid w:val="00511418"/>
    <w:rsid w:val="00511E16"/>
    <w:rsid w:val="005120F0"/>
    <w:rsid w:val="0051381F"/>
    <w:rsid w:val="005160AB"/>
    <w:rsid w:val="00516B4E"/>
    <w:rsid w:val="00523BE2"/>
    <w:rsid w:val="00533E0B"/>
    <w:rsid w:val="005403B9"/>
    <w:rsid w:val="005411C0"/>
    <w:rsid w:val="0054271F"/>
    <w:rsid w:val="0055136E"/>
    <w:rsid w:val="005537EA"/>
    <w:rsid w:val="0056547B"/>
    <w:rsid w:val="005767F1"/>
    <w:rsid w:val="00576C78"/>
    <w:rsid w:val="00582AF0"/>
    <w:rsid w:val="0058305C"/>
    <w:rsid w:val="00583C6C"/>
    <w:rsid w:val="0058700B"/>
    <w:rsid w:val="00591825"/>
    <w:rsid w:val="00595928"/>
    <w:rsid w:val="005966A3"/>
    <w:rsid w:val="005966BC"/>
    <w:rsid w:val="005A31F0"/>
    <w:rsid w:val="005A3E1D"/>
    <w:rsid w:val="005B18A9"/>
    <w:rsid w:val="005B1AB3"/>
    <w:rsid w:val="005B1D82"/>
    <w:rsid w:val="005C3B68"/>
    <w:rsid w:val="005C3F81"/>
    <w:rsid w:val="005C56BD"/>
    <w:rsid w:val="005D25E0"/>
    <w:rsid w:val="005D581E"/>
    <w:rsid w:val="005D6361"/>
    <w:rsid w:val="005D645B"/>
    <w:rsid w:val="005D7051"/>
    <w:rsid w:val="005E1BD9"/>
    <w:rsid w:val="005E4927"/>
    <w:rsid w:val="005F1852"/>
    <w:rsid w:val="005F31B8"/>
    <w:rsid w:val="005F513C"/>
    <w:rsid w:val="006003AE"/>
    <w:rsid w:val="00600680"/>
    <w:rsid w:val="00600C16"/>
    <w:rsid w:val="00603932"/>
    <w:rsid w:val="00604B33"/>
    <w:rsid w:val="006059D5"/>
    <w:rsid w:val="006108DA"/>
    <w:rsid w:val="006150F2"/>
    <w:rsid w:val="00615F42"/>
    <w:rsid w:val="00616450"/>
    <w:rsid w:val="00623E76"/>
    <w:rsid w:val="00641A07"/>
    <w:rsid w:val="00641E54"/>
    <w:rsid w:val="00644A0B"/>
    <w:rsid w:val="006460C7"/>
    <w:rsid w:val="006473B6"/>
    <w:rsid w:val="00651C4C"/>
    <w:rsid w:val="00654D98"/>
    <w:rsid w:val="00655509"/>
    <w:rsid w:val="006650F4"/>
    <w:rsid w:val="006673C5"/>
    <w:rsid w:val="006746FB"/>
    <w:rsid w:val="00677441"/>
    <w:rsid w:val="006801FD"/>
    <w:rsid w:val="006819F1"/>
    <w:rsid w:val="006A2F84"/>
    <w:rsid w:val="006A5F1D"/>
    <w:rsid w:val="006D0072"/>
    <w:rsid w:val="006D53AF"/>
    <w:rsid w:val="006D579F"/>
    <w:rsid w:val="006D6A37"/>
    <w:rsid w:val="006D7FA6"/>
    <w:rsid w:val="006E047B"/>
    <w:rsid w:val="006E0849"/>
    <w:rsid w:val="006E54D4"/>
    <w:rsid w:val="006E5530"/>
    <w:rsid w:val="007051D3"/>
    <w:rsid w:val="00706F57"/>
    <w:rsid w:val="0070798E"/>
    <w:rsid w:val="00710729"/>
    <w:rsid w:val="00710DBD"/>
    <w:rsid w:val="00721940"/>
    <w:rsid w:val="00724715"/>
    <w:rsid w:val="0072502C"/>
    <w:rsid w:val="007309D2"/>
    <w:rsid w:val="00731F8A"/>
    <w:rsid w:val="00753A4D"/>
    <w:rsid w:val="007553D5"/>
    <w:rsid w:val="007554B5"/>
    <w:rsid w:val="00755B80"/>
    <w:rsid w:val="00765231"/>
    <w:rsid w:val="00772B10"/>
    <w:rsid w:val="00773E67"/>
    <w:rsid w:val="007773DF"/>
    <w:rsid w:val="0078654E"/>
    <w:rsid w:val="00794F7D"/>
    <w:rsid w:val="007A2019"/>
    <w:rsid w:val="007A276E"/>
    <w:rsid w:val="007B15AE"/>
    <w:rsid w:val="007B34D7"/>
    <w:rsid w:val="007B6A87"/>
    <w:rsid w:val="007C1FD2"/>
    <w:rsid w:val="007C3112"/>
    <w:rsid w:val="007C370F"/>
    <w:rsid w:val="007D07EF"/>
    <w:rsid w:val="007D1375"/>
    <w:rsid w:val="007D6E04"/>
    <w:rsid w:val="007E1757"/>
    <w:rsid w:val="007E2ACC"/>
    <w:rsid w:val="007F63A2"/>
    <w:rsid w:val="008042D9"/>
    <w:rsid w:val="008069A1"/>
    <w:rsid w:val="00813EE2"/>
    <w:rsid w:val="0082092C"/>
    <w:rsid w:val="00824BA1"/>
    <w:rsid w:val="00831A7E"/>
    <w:rsid w:val="0084016E"/>
    <w:rsid w:val="00843CE8"/>
    <w:rsid w:val="00845E05"/>
    <w:rsid w:val="00845E83"/>
    <w:rsid w:val="008548E0"/>
    <w:rsid w:val="00862332"/>
    <w:rsid w:val="00867841"/>
    <w:rsid w:val="0087437A"/>
    <w:rsid w:val="008802CB"/>
    <w:rsid w:val="00885B6D"/>
    <w:rsid w:val="00891E33"/>
    <w:rsid w:val="008B06D8"/>
    <w:rsid w:val="008B08C9"/>
    <w:rsid w:val="008B1CF2"/>
    <w:rsid w:val="008B50CB"/>
    <w:rsid w:val="008B53D8"/>
    <w:rsid w:val="008C268E"/>
    <w:rsid w:val="008D11E0"/>
    <w:rsid w:val="008D2056"/>
    <w:rsid w:val="008D6742"/>
    <w:rsid w:val="008D7F3A"/>
    <w:rsid w:val="008E0420"/>
    <w:rsid w:val="008E13E9"/>
    <w:rsid w:val="008E4EEB"/>
    <w:rsid w:val="008E764F"/>
    <w:rsid w:val="008F0BAE"/>
    <w:rsid w:val="008F141B"/>
    <w:rsid w:val="008F1C03"/>
    <w:rsid w:val="008F711C"/>
    <w:rsid w:val="008F7B09"/>
    <w:rsid w:val="008F7BBB"/>
    <w:rsid w:val="00901762"/>
    <w:rsid w:val="0090320F"/>
    <w:rsid w:val="00912BAE"/>
    <w:rsid w:val="00915408"/>
    <w:rsid w:val="0091686B"/>
    <w:rsid w:val="00922127"/>
    <w:rsid w:val="0092282B"/>
    <w:rsid w:val="009273FB"/>
    <w:rsid w:val="00930A57"/>
    <w:rsid w:val="00931419"/>
    <w:rsid w:val="00933100"/>
    <w:rsid w:val="009422A6"/>
    <w:rsid w:val="0094371E"/>
    <w:rsid w:val="009538DB"/>
    <w:rsid w:val="009539DC"/>
    <w:rsid w:val="009568F7"/>
    <w:rsid w:val="00957861"/>
    <w:rsid w:val="0096284D"/>
    <w:rsid w:val="00962A8A"/>
    <w:rsid w:val="009665E8"/>
    <w:rsid w:val="00976FF9"/>
    <w:rsid w:val="00982EEB"/>
    <w:rsid w:val="00987885"/>
    <w:rsid w:val="00987FB6"/>
    <w:rsid w:val="009A2B1B"/>
    <w:rsid w:val="009C28B1"/>
    <w:rsid w:val="009C29B0"/>
    <w:rsid w:val="009D0E88"/>
    <w:rsid w:val="009D1A56"/>
    <w:rsid w:val="009D255A"/>
    <w:rsid w:val="009D7FEE"/>
    <w:rsid w:val="009E17D3"/>
    <w:rsid w:val="009E6117"/>
    <w:rsid w:val="009F46D9"/>
    <w:rsid w:val="00A0383F"/>
    <w:rsid w:val="00A06CA3"/>
    <w:rsid w:val="00A10616"/>
    <w:rsid w:val="00A16622"/>
    <w:rsid w:val="00A2461D"/>
    <w:rsid w:val="00A3085C"/>
    <w:rsid w:val="00A31F47"/>
    <w:rsid w:val="00A35CF6"/>
    <w:rsid w:val="00A360F2"/>
    <w:rsid w:val="00A36DE1"/>
    <w:rsid w:val="00A41B2B"/>
    <w:rsid w:val="00A61FD8"/>
    <w:rsid w:val="00A62E2E"/>
    <w:rsid w:val="00A6792E"/>
    <w:rsid w:val="00A70C76"/>
    <w:rsid w:val="00A7347E"/>
    <w:rsid w:val="00A74FAD"/>
    <w:rsid w:val="00A758A5"/>
    <w:rsid w:val="00A82041"/>
    <w:rsid w:val="00A82201"/>
    <w:rsid w:val="00A82D25"/>
    <w:rsid w:val="00A86B72"/>
    <w:rsid w:val="00A86CDE"/>
    <w:rsid w:val="00A915E6"/>
    <w:rsid w:val="00A94103"/>
    <w:rsid w:val="00AA33AA"/>
    <w:rsid w:val="00AA3A8E"/>
    <w:rsid w:val="00AB042A"/>
    <w:rsid w:val="00AB5618"/>
    <w:rsid w:val="00AB7889"/>
    <w:rsid w:val="00AC7ACA"/>
    <w:rsid w:val="00AD3689"/>
    <w:rsid w:val="00AD4E6E"/>
    <w:rsid w:val="00AD7B4E"/>
    <w:rsid w:val="00AE147D"/>
    <w:rsid w:val="00AE7B5D"/>
    <w:rsid w:val="00B01D5D"/>
    <w:rsid w:val="00B05BA0"/>
    <w:rsid w:val="00B06556"/>
    <w:rsid w:val="00B06EEF"/>
    <w:rsid w:val="00B1108B"/>
    <w:rsid w:val="00B1695D"/>
    <w:rsid w:val="00B2658C"/>
    <w:rsid w:val="00B428D7"/>
    <w:rsid w:val="00B43442"/>
    <w:rsid w:val="00B43C9C"/>
    <w:rsid w:val="00B539D3"/>
    <w:rsid w:val="00B55C2D"/>
    <w:rsid w:val="00B56B54"/>
    <w:rsid w:val="00B57022"/>
    <w:rsid w:val="00B659C9"/>
    <w:rsid w:val="00B66754"/>
    <w:rsid w:val="00B70DF1"/>
    <w:rsid w:val="00B742D4"/>
    <w:rsid w:val="00B763DD"/>
    <w:rsid w:val="00B807A2"/>
    <w:rsid w:val="00B817E0"/>
    <w:rsid w:val="00B8741D"/>
    <w:rsid w:val="00B91677"/>
    <w:rsid w:val="00B921F2"/>
    <w:rsid w:val="00B93AF7"/>
    <w:rsid w:val="00BB3C89"/>
    <w:rsid w:val="00BB4AEB"/>
    <w:rsid w:val="00BB6586"/>
    <w:rsid w:val="00BB6BF3"/>
    <w:rsid w:val="00BB7A49"/>
    <w:rsid w:val="00BC4873"/>
    <w:rsid w:val="00BC7DD0"/>
    <w:rsid w:val="00BD2677"/>
    <w:rsid w:val="00BD2A3A"/>
    <w:rsid w:val="00BD400D"/>
    <w:rsid w:val="00BD66FC"/>
    <w:rsid w:val="00BD7353"/>
    <w:rsid w:val="00BE60D6"/>
    <w:rsid w:val="00BE62E4"/>
    <w:rsid w:val="00C012C4"/>
    <w:rsid w:val="00C016AD"/>
    <w:rsid w:val="00C02721"/>
    <w:rsid w:val="00C036FB"/>
    <w:rsid w:val="00C11725"/>
    <w:rsid w:val="00C14BB8"/>
    <w:rsid w:val="00C20F3F"/>
    <w:rsid w:val="00C20F70"/>
    <w:rsid w:val="00C2184F"/>
    <w:rsid w:val="00C21EF9"/>
    <w:rsid w:val="00C242DC"/>
    <w:rsid w:val="00C25A2D"/>
    <w:rsid w:val="00C27EFB"/>
    <w:rsid w:val="00C30F40"/>
    <w:rsid w:val="00C31F47"/>
    <w:rsid w:val="00C423BC"/>
    <w:rsid w:val="00C522E9"/>
    <w:rsid w:val="00C53282"/>
    <w:rsid w:val="00C53A7E"/>
    <w:rsid w:val="00C575E5"/>
    <w:rsid w:val="00C6575F"/>
    <w:rsid w:val="00C66CFD"/>
    <w:rsid w:val="00C72F23"/>
    <w:rsid w:val="00C7363F"/>
    <w:rsid w:val="00C751B2"/>
    <w:rsid w:val="00C8232F"/>
    <w:rsid w:val="00C8705C"/>
    <w:rsid w:val="00C87D72"/>
    <w:rsid w:val="00C962D5"/>
    <w:rsid w:val="00CA3676"/>
    <w:rsid w:val="00CA44C8"/>
    <w:rsid w:val="00CA7D95"/>
    <w:rsid w:val="00CB271C"/>
    <w:rsid w:val="00CB3601"/>
    <w:rsid w:val="00CB63E4"/>
    <w:rsid w:val="00CC7B28"/>
    <w:rsid w:val="00CD2873"/>
    <w:rsid w:val="00CD71CD"/>
    <w:rsid w:val="00CE1767"/>
    <w:rsid w:val="00CF4589"/>
    <w:rsid w:val="00CF671E"/>
    <w:rsid w:val="00D006D4"/>
    <w:rsid w:val="00D047A2"/>
    <w:rsid w:val="00D063AB"/>
    <w:rsid w:val="00D2128C"/>
    <w:rsid w:val="00D222E0"/>
    <w:rsid w:val="00D35DC7"/>
    <w:rsid w:val="00D42842"/>
    <w:rsid w:val="00D43D33"/>
    <w:rsid w:val="00D43EFA"/>
    <w:rsid w:val="00D449C8"/>
    <w:rsid w:val="00D4713D"/>
    <w:rsid w:val="00D473D2"/>
    <w:rsid w:val="00D5289C"/>
    <w:rsid w:val="00D5345E"/>
    <w:rsid w:val="00D5426D"/>
    <w:rsid w:val="00D64959"/>
    <w:rsid w:val="00D8192F"/>
    <w:rsid w:val="00D82DB2"/>
    <w:rsid w:val="00D8787B"/>
    <w:rsid w:val="00D91D55"/>
    <w:rsid w:val="00D9559E"/>
    <w:rsid w:val="00DA3D52"/>
    <w:rsid w:val="00DA4A70"/>
    <w:rsid w:val="00DA507F"/>
    <w:rsid w:val="00DB6D24"/>
    <w:rsid w:val="00DB7B64"/>
    <w:rsid w:val="00DC6EF4"/>
    <w:rsid w:val="00DD7329"/>
    <w:rsid w:val="00DE1ED1"/>
    <w:rsid w:val="00DF445A"/>
    <w:rsid w:val="00DF58E6"/>
    <w:rsid w:val="00DF68D8"/>
    <w:rsid w:val="00E06B2E"/>
    <w:rsid w:val="00E07DBF"/>
    <w:rsid w:val="00E10E56"/>
    <w:rsid w:val="00E11924"/>
    <w:rsid w:val="00E137D9"/>
    <w:rsid w:val="00E2408D"/>
    <w:rsid w:val="00E24B75"/>
    <w:rsid w:val="00E24FB4"/>
    <w:rsid w:val="00E260A9"/>
    <w:rsid w:val="00E34464"/>
    <w:rsid w:val="00E34465"/>
    <w:rsid w:val="00E36053"/>
    <w:rsid w:val="00E40983"/>
    <w:rsid w:val="00E46E5E"/>
    <w:rsid w:val="00E50BA2"/>
    <w:rsid w:val="00E61247"/>
    <w:rsid w:val="00E654AA"/>
    <w:rsid w:val="00E83848"/>
    <w:rsid w:val="00E8602A"/>
    <w:rsid w:val="00E876B1"/>
    <w:rsid w:val="00E87F43"/>
    <w:rsid w:val="00E92A0E"/>
    <w:rsid w:val="00E932DA"/>
    <w:rsid w:val="00E96683"/>
    <w:rsid w:val="00E96988"/>
    <w:rsid w:val="00E97757"/>
    <w:rsid w:val="00EA3ED0"/>
    <w:rsid w:val="00EA45F1"/>
    <w:rsid w:val="00EA4884"/>
    <w:rsid w:val="00EA74FC"/>
    <w:rsid w:val="00EB1D86"/>
    <w:rsid w:val="00EB2EF6"/>
    <w:rsid w:val="00EB49F0"/>
    <w:rsid w:val="00EB4E57"/>
    <w:rsid w:val="00EB5A5E"/>
    <w:rsid w:val="00EB689B"/>
    <w:rsid w:val="00EC3E02"/>
    <w:rsid w:val="00ED333F"/>
    <w:rsid w:val="00EE65C3"/>
    <w:rsid w:val="00EF1B83"/>
    <w:rsid w:val="00EF2628"/>
    <w:rsid w:val="00EF3B67"/>
    <w:rsid w:val="00EF7DBD"/>
    <w:rsid w:val="00F14A6D"/>
    <w:rsid w:val="00F1523F"/>
    <w:rsid w:val="00F17AB0"/>
    <w:rsid w:val="00F219E3"/>
    <w:rsid w:val="00F23095"/>
    <w:rsid w:val="00F2364F"/>
    <w:rsid w:val="00F27279"/>
    <w:rsid w:val="00F33949"/>
    <w:rsid w:val="00F4268A"/>
    <w:rsid w:val="00F45B0E"/>
    <w:rsid w:val="00F467C5"/>
    <w:rsid w:val="00F5041A"/>
    <w:rsid w:val="00F52AF8"/>
    <w:rsid w:val="00F63D69"/>
    <w:rsid w:val="00F64ACA"/>
    <w:rsid w:val="00F652D0"/>
    <w:rsid w:val="00F67B73"/>
    <w:rsid w:val="00F7122F"/>
    <w:rsid w:val="00F77D6B"/>
    <w:rsid w:val="00F90AE4"/>
    <w:rsid w:val="00F957E6"/>
    <w:rsid w:val="00FA0348"/>
    <w:rsid w:val="00FA3394"/>
    <w:rsid w:val="00FA364C"/>
    <w:rsid w:val="00FB5D03"/>
    <w:rsid w:val="00FB6B18"/>
    <w:rsid w:val="00FC5859"/>
    <w:rsid w:val="00FD26C6"/>
    <w:rsid w:val="00FD56D6"/>
    <w:rsid w:val="00FE0D8C"/>
    <w:rsid w:val="00FF5E9B"/>
    <w:rsid w:val="339878D9"/>
    <w:rsid w:val="59AC4013"/>
    <w:rsid w:val="60E330D2"/>
    <w:rsid w:val="72E70E29"/>
    <w:rsid w:val="73B4414D"/>
    <w:rsid w:val="7B91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D5BF9-9785-43C7-B6C5-DC2A6E635E9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134</Words>
  <Characters>770</Characters>
  <Lines>6</Lines>
  <Paragraphs>1</Paragraphs>
  <TotalTime>0</TotalTime>
  <ScaleCrop>false</ScaleCrop>
  <LinksUpToDate>false</LinksUpToDate>
  <CharactersWithSpaces>903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2019-09-27T02:25:00Z</dcterms:created>
  <dc:creator>慈溪市</dc:creator>
  <cp:lastModifiedBy>暮夏</cp:lastModifiedBy>
  <cp:lastPrinted>2019-12-20T06:32:00Z</cp:lastPrinted>
  <dcterms:modified xsi:type="dcterms:W3CDTF">2019-12-20T06:52:24Z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