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D0" w:rsidRPr="00F235EE" w:rsidRDefault="003B7BD6" w:rsidP="003B7BD6">
      <w:pPr>
        <w:jc w:val="center"/>
        <w:rPr>
          <w:rFonts w:ascii="方正小标宋简体" w:eastAsia="方正小标宋简体" w:hAnsi="微软雅黑" w:cs="Tahoma"/>
          <w:b/>
          <w:bCs/>
          <w:color w:val="000000" w:themeColor="text1"/>
          <w:sz w:val="44"/>
          <w:szCs w:val="44"/>
        </w:rPr>
      </w:pPr>
      <w:r w:rsidRPr="00F235EE">
        <w:rPr>
          <w:rFonts w:ascii="方正小标宋简体" w:eastAsia="方正小标宋简体" w:hAnsi="微软雅黑" w:cs="Tahoma" w:hint="eastAsia"/>
          <w:b/>
          <w:bCs/>
          <w:color w:val="000000" w:themeColor="text1"/>
          <w:sz w:val="44"/>
          <w:szCs w:val="44"/>
        </w:rPr>
        <w:t>浒山街道办事处</w:t>
      </w:r>
      <w:r w:rsidRPr="00F235EE">
        <w:rPr>
          <w:rFonts w:ascii="方正小标宋简体" w:eastAsia="方正小标宋简体" w:hAnsi="Tahoma" w:cs="Tahoma" w:hint="eastAsia"/>
          <w:b/>
          <w:bCs/>
          <w:color w:val="000000" w:themeColor="text1"/>
          <w:sz w:val="44"/>
          <w:szCs w:val="44"/>
        </w:rPr>
        <w:t>2019</w:t>
      </w:r>
      <w:r w:rsidRPr="00F235EE">
        <w:rPr>
          <w:rFonts w:ascii="方正小标宋简体" w:eastAsia="方正小标宋简体" w:hAnsi="微软雅黑" w:cs="Tahoma" w:hint="eastAsia"/>
          <w:b/>
          <w:bCs/>
          <w:color w:val="000000" w:themeColor="text1"/>
          <w:sz w:val="44"/>
          <w:szCs w:val="44"/>
        </w:rPr>
        <w:t>年度政府信息公开工作年度报告</w:t>
      </w:r>
    </w:p>
    <w:p w:rsidR="003B7BD6" w:rsidRPr="00F235EE" w:rsidRDefault="003B7BD6" w:rsidP="003B7BD6">
      <w:pPr>
        <w:jc w:val="center"/>
        <w:rPr>
          <w:rFonts w:ascii="Tahoma" w:eastAsia="微软雅黑" w:hAnsi="微软雅黑" w:cs="Tahoma"/>
          <w:b/>
          <w:bCs/>
          <w:color w:val="000000" w:themeColor="text1"/>
          <w:sz w:val="44"/>
          <w:szCs w:val="44"/>
        </w:rPr>
      </w:pPr>
    </w:p>
    <w:p w:rsidR="003B7BD6" w:rsidRPr="00F235EE" w:rsidRDefault="003B7BD6" w:rsidP="003B7BD6">
      <w:pPr>
        <w:widowControl/>
        <w:spacing w:line="480" w:lineRule="atLeast"/>
        <w:ind w:firstLine="48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24"/>
        </w:rPr>
      </w:pPr>
      <w:r w:rsidRPr="00F235EE">
        <w:rPr>
          <w:rFonts w:ascii="黑体" w:eastAsia="黑体" w:hAnsi="黑体" w:cs="宋体" w:hint="eastAsia"/>
          <w:color w:val="000000" w:themeColor="text1"/>
          <w:kern w:val="0"/>
          <w:sz w:val="32"/>
          <w:szCs w:val="24"/>
        </w:rPr>
        <w:t>一、总体情况</w:t>
      </w:r>
    </w:p>
    <w:p w:rsidR="003B7BD6" w:rsidRPr="00F235EE" w:rsidRDefault="003B7BD6" w:rsidP="001F2443">
      <w:pPr>
        <w:widowControl/>
        <w:spacing w:line="480" w:lineRule="atLeast"/>
        <w:ind w:firstLineChars="200" w:firstLine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24"/>
        </w:rPr>
      </w:pPr>
      <w:r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2019年，浒山街道办事处认真贯彻落实《中华人民共和国政府信息公开条例》《浙江省政府信息公开暂行办法》《2019年浙江省政务公开工作要点》，扎实履行“推进、指导、协调、监督”职责，坚持“以公开为常态、不公开为例外”原则，持续深入推进政务公开规范化、制度化、常态化建设。</w:t>
      </w:r>
    </w:p>
    <w:p w:rsidR="003B7BD6" w:rsidRPr="00F235EE" w:rsidRDefault="003B7BD6" w:rsidP="003B7BD6">
      <w:pPr>
        <w:widowControl/>
        <w:spacing w:line="480" w:lineRule="atLeas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24"/>
        </w:rPr>
      </w:pPr>
      <w:r w:rsidRPr="00F235EE">
        <w:rPr>
          <w:rFonts w:ascii="楷体" w:eastAsia="楷体" w:hAnsi="楷体" w:cs="宋体" w:hint="eastAsia"/>
          <w:color w:val="000000" w:themeColor="text1"/>
          <w:kern w:val="0"/>
          <w:sz w:val="32"/>
          <w:szCs w:val="24"/>
        </w:rPr>
        <w:t>（一）主动公开情况。</w:t>
      </w:r>
      <w:r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大力推进决策、执行、管理、服务、结果“五公开”。深入推进工作动态、文件法规、总结报告、社会救助等15个领域信息公开工作。2019年，街道通过政府门户网站、“阿拉浒山”、电视媒体等途径，共公开各类政府信息1084条。</w:t>
      </w:r>
    </w:p>
    <w:p w:rsidR="003B7BD6" w:rsidRPr="00F235EE" w:rsidRDefault="003B7BD6" w:rsidP="003B7BD6">
      <w:pPr>
        <w:widowControl/>
        <w:spacing w:line="480" w:lineRule="atLeas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24"/>
        </w:rPr>
      </w:pPr>
      <w:r w:rsidRPr="00F235EE">
        <w:rPr>
          <w:rFonts w:ascii="楷体" w:eastAsia="楷体" w:hAnsi="楷体" w:cs="宋体" w:hint="eastAsia"/>
          <w:color w:val="000000" w:themeColor="text1"/>
          <w:kern w:val="0"/>
          <w:sz w:val="32"/>
          <w:szCs w:val="24"/>
        </w:rPr>
        <w:t>（二）依申请公开情况。</w:t>
      </w:r>
      <w:r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完善依申请公开办理机制、明确办理流程、依照市级统一文书格式模板。2019年，街道依申请公开件1件。</w:t>
      </w:r>
    </w:p>
    <w:p w:rsidR="003B7BD6" w:rsidRPr="00F235EE" w:rsidRDefault="003B7BD6" w:rsidP="003B7BD6">
      <w:pPr>
        <w:widowControl/>
        <w:spacing w:line="480" w:lineRule="atLeas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24"/>
        </w:rPr>
      </w:pPr>
      <w:r w:rsidRPr="00F235EE">
        <w:rPr>
          <w:rFonts w:ascii="楷体" w:eastAsia="楷体" w:hAnsi="楷体" w:cs="宋体" w:hint="eastAsia"/>
          <w:color w:val="000000" w:themeColor="text1"/>
          <w:kern w:val="0"/>
          <w:sz w:val="32"/>
          <w:szCs w:val="24"/>
        </w:rPr>
        <w:t>（三）政府信息管理情况。</w:t>
      </w:r>
      <w:r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完善政府信息主动公开目录体系，加强政府信息归集管理。认真落实政府信息公开长效运维管理工作，加强政府信息发布审核，对相关政府信息及</w:t>
      </w:r>
      <w:r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lastRenderedPageBreak/>
        <w:t>时进行动态更新。及时公开机构职责、领导信息、机构概况、政府信息公开指南等。加强对政府网站和浙江政务服务网上已发布信息的日常监测和排查。</w:t>
      </w:r>
    </w:p>
    <w:p w:rsidR="003B7BD6" w:rsidRPr="00F235EE" w:rsidRDefault="003B7BD6" w:rsidP="003B7BD6">
      <w:pPr>
        <w:widowControl/>
        <w:spacing w:line="480" w:lineRule="atLeas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24"/>
        </w:rPr>
      </w:pPr>
      <w:r w:rsidRPr="00F235EE">
        <w:rPr>
          <w:rFonts w:ascii="楷体" w:eastAsia="楷体" w:hAnsi="楷体" w:cs="宋体" w:hint="eastAsia"/>
          <w:color w:val="000000" w:themeColor="text1"/>
          <w:kern w:val="0"/>
          <w:sz w:val="32"/>
          <w:szCs w:val="24"/>
        </w:rPr>
        <w:t>（四）平台建设情况。</w:t>
      </w:r>
      <w:r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积极优化完善政府网站、政务新媒体、政府信息查阅点等政务公开平台和渠道。对慈溪政务网站上</w:t>
      </w:r>
      <w:r w:rsidR="00E47F52"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浒山</w:t>
      </w:r>
      <w:r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栏目的公开目录进行了更新，对“</w:t>
      </w:r>
      <w:r w:rsidR="00E47F52"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阿拉浒山</w:t>
      </w:r>
      <w:r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”政务公众号进行了完善。</w:t>
      </w:r>
    </w:p>
    <w:p w:rsidR="003B7BD6" w:rsidRPr="00F235EE" w:rsidRDefault="003B7BD6" w:rsidP="003B7BD6">
      <w:pPr>
        <w:widowControl/>
        <w:spacing w:line="480" w:lineRule="atLeas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24"/>
        </w:rPr>
      </w:pPr>
      <w:r w:rsidRPr="00F235EE">
        <w:rPr>
          <w:rFonts w:ascii="楷体" w:eastAsia="楷体" w:hAnsi="楷体" w:cs="宋体" w:hint="eastAsia"/>
          <w:color w:val="000000" w:themeColor="text1"/>
          <w:kern w:val="0"/>
          <w:sz w:val="32"/>
          <w:szCs w:val="24"/>
        </w:rPr>
        <w:t>（五）监督保障情况。</w:t>
      </w:r>
      <w:r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组织办公室成员学习《重大行政决策程序暂行条例》《中华人民共和国政府信息公开条例》《优化营商环境条例》等与政务公开工作密切相关的行政法规。结合机构改革实际，调整了政务公开工作人员结构。年底，在第三方机构测评的基础上，对政务公开内容进行了及时的更正和完善。</w:t>
      </w:r>
    </w:p>
    <w:p w:rsidR="001F2443" w:rsidRPr="00F235EE" w:rsidRDefault="001F2443" w:rsidP="001F2443">
      <w:pPr>
        <w:spacing w:line="40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:rsidR="001F2443" w:rsidRPr="007D50C6" w:rsidRDefault="001F2443" w:rsidP="007D50C6">
      <w:pPr>
        <w:widowControl/>
        <w:spacing w:line="480" w:lineRule="atLeast"/>
        <w:ind w:firstLine="48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24"/>
        </w:rPr>
      </w:pPr>
      <w:r w:rsidRPr="007D50C6">
        <w:rPr>
          <w:rFonts w:ascii="黑体" w:eastAsia="黑体" w:hAnsi="黑体" w:cs="宋体" w:hint="eastAsia"/>
          <w:color w:val="000000" w:themeColor="text1"/>
          <w:kern w:val="0"/>
          <w:sz w:val="32"/>
          <w:szCs w:val="24"/>
        </w:rPr>
        <w:t>二、主动公开政府信息具体情况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4"/>
        <w:gridCol w:w="2183"/>
        <w:gridCol w:w="422"/>
        <w:gridCol w:w="1704"/>
        <w:gridCol w:w="3828"/>
      </w:tblGrid>
      <w:tr w:rsidR="001F2443" w:rsidRPr="00F235EE" w:rsidTr="00CD676A">
        <w:trPr>
          <w:jc w:val="center"/>
        </w:trPr>
        <w:tc>
          <w:tcPr>
            <w:tcW w:w="10211" w:type="dxa"/>
            <w:gridSpan w:val="5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第二十条第（一）项</w:t>
            </w:r>
          </w:p>
        </w:tc>
      </w:tr>
      <w:tr w:rsidR="001F2443" w:rsidRPr="00F235EE" w:rsidTr="00CD676A">
        <w:trPr>
          <w:trHeight w:val="567"/>
          <w:jc w:val="center"/>
        </w:trPr>
        <w:tc>
          <w:tcPr>
            <w:tcW w:w="207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信息内容</w:t>
            </w:r>
          </w:p>
        </w:tc>
        <w:tc>
          <w:tcPr>
            <w:tcW w:w="2183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本年新制作数量</w:t>
            </w:r>
          </w:p>
        </w:tc>
        <w:tc>
          <w:tcPr>
            <w:tcW w:w="2126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本年新公开数量</w:t>
            </w:r>
          </w:p>
        </w:tc>
        <w:tc>
          <w:tcPr>
            <w:tcW w:w="3828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对外公开总数量</w:t>
            </w:r>
          </w:p>
        </w:tc>
      </w:tr>
      <w:tr w:rsidR="001F2443" w:rsidRPr="00F235EE" w:rsidTr="00CD676A">
        <w:trPr>
          <w:trHeight w:val="567"/>
          <w:jc w:val="center"/>
        </w:trPr>
        <w:tc>
          <w:tcPr>
            <w:tcW w:w="207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规章</w:t>
            </w:r>
          </w:p>
        </w:tc>
        <w:tc>
          <w:tcPr>
            <w:tcW w:w="2183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2126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3828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trHeight w:val="567"/>
          <w:jc w:val="center"/>
        </w:trPr>
        <w:tc>
          <w:tcPr>
            <w:tcW w:w="207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规范性文件</w:t>
            </w:r>
          </w:p>
        </w:tc>
        <w:tc>
          <w:tcPr>
            <w:tcW w:w="2183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5</w:t>
            </w:r>
          </w:p>
        </w:tc>
      </w:tr>
      <w:tr w:rsidR="001F2443" w:rsidRPr="00F235EE" w:rsidTr="00CD676A">
        <w:trPr>
          <w:jc w:val="center"/>
        </w:trPr>
        <w:tc>
          <w:tcPr>
            <w:tcW w:w="10211" w:type="dxa"/>
            <w:gridSpan w:val="5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第二十条第（五）项</w:t>
            </w:r>
          </w:p>
        </w:tc>
      </w:tr>
      <w:tr w:rsidR="001F2443" w:rsidRPr="00F235EE" w:rsidTr="00CD676A">
        <w:trPr>
          <w:trHeight w:val="567"/>
          <w:jc w:val="center"/>
        </w:trPr>
        <w:tc>
          <w:tcPr>
            <w:tcW w:w="207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信息内容</w:t>
            </w:r>
          </w:p>
        </w:tc>
        <w:tc>
          <w:tcPr>
            <w:tcW w:w="2183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上一年项目数量</w:t>
            </w:r>
          </w:p>
        </w:tc>
        <w:tc>
          <w:tcPr>
            <w:tcW w:w="2126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本年增/减</w:t>
            </w:r>
          </w:p>
        </w:tc>
        <w:tc>
          <w:tcPr>
            <w:tcW w:w="3828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处理决定数量</w:t>
            </w:r>
          </w:p>
        </w:tc>
      </w:tr>
      <w:tr w:rsidR="001F2443" w:rsidRPr="00F235EE" w:rsidTr="00CD676A">
        <w:trPr>
          <w:trHeight w:val="567"/>
          <w:jc w:val="center"/>
        </w:trPr>
        <w:tc>
          <w:tcPr>
            <w:tcW w:w="207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行政许可</w:t>
            </w:r>
          </w:p>
        </w:tc>
        <w:tc>
          <w:tcPr>
            <w:tcW w:w="2183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trHeight w:val="567"/>
          <w:jc w:val="center"/>
        </w:trPr>
        <w:tc>
          <w:tcPr>
            <w:tcW w:w="207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其他对外管理服务事项</w:t>
            </w:r>
          </w:p>
        </w:tc>
        <w:tc>
          <w:tcPr>
            <w:tcW w:w="2183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34</w:t>
            </w:r>
          </w:p>
        </w:tc>
        <w:tc>
          <w:tcPr>
            <w:tcW w:w="2126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3828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jc w:val="center"/>
        </w:trPr>
        <w:tc>
          <w:tcPr>
            <w:tcW w:w="10211" w:type="dxa"/>
            <w:gridSpan w:val="5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lastRenderedPageBreak/>
              <w:t>第二十条第（六）项</w:t>
            </w:r>
          </w:p>
        </w:tc>
      </w:tr>
      <w:tr w:rsidR="001F2443" w:rsidRPr="00F235EE" w:rsidTr="00CD676A">
        <w:trPr>
          <w:trHeight w:val="567"/>
          <w:jc w:val="center"/>
        </w:trPr>
        <w:tc>
          <w:tcPr>
            <w:tcW w:w="207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信息内容</w:t>
            </w:r>
          </w:p>
        </w:tc>
        <w:tc>
          <w:tcPr>
            <w:tcW w:w="2183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上一年项目数量</w:t>
            </w:r>
          </w:p>
        </w:tc>
        <w:tc>
          <w:tcPr>
            <w:tcW w:w="2126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本年增/减</w:t>
            </w:r>
          </w:p>
        </w:tc>
        <w:tc>
          <w:tcPr>
            <w:tcW w:w="3828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处理决定数量</w:t>
            </w:r>
          </w:p>
        </w:tc>
      </w:tr>
      <w:tr w:rsidR="001F2443" w:rsidRPr="00F235EE" w:rsidTr="00CD676A">
        <w:trPr>
          <w:trHeight w:val="567"/>
          <w:jc w:val="center"/>
        </w:trPr>
        <w:tc>
          <w:tcPr>
            <w:tcW w:w="207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行政处罚</w:t>
            </w:r>
          </w:p>
        </w:tc>
        <w:tc>
          <w:tcPr>
            <w:tcW w:w="2183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3828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4</w:t>
            </w:r>
          </w:p>
        </w:tc>
      </w:tr>
      <w:tr w:rsidR="001F2443" w:rsidRPr="00F235EE" w:rsidTr="00CD676A">
        <w:trPr>
          <w:trHeight w:val="567"/>
          <w:jc w:val="center"/>
        </w:trPr>
        <w:tc>
          <w:tcPr>
            <w:tcW w:w="207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行政强制</w:t>
            </w:r>
          </w:p>
        </w:tc>
        <w:tc>
          <w:tcPr>
            <w:tcW w:w="2183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2126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3828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jc w:val="center"/>
        </w:trPr>
        <w:tc>
          <w:tcPr>
            <w:tcW w:w="10211" w:type="dxa"/>
            <w:gridSpan w:val="5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第二十条第（八）项</w:t>
            </w:r>
          </w:p>
        </w:tc>
      </w:tr>
      <w:tr w:rsidR="001F2443" w:rsidRPr="00F235EE" w:rsidTr="00CD676A">
        <w:trPr>
          <w:trHeight w:val="567"/>
          <w:jc w:val="center"/>
        </w:trPr>
        <w:tc>
          <w:tcPr>
            <w:tcW w:w="207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信息内容</w:t>
            </w:r>
          </w:p>
        </w:tc>
        <w:tc>
          <w:tcPr>
            <w:tcW w:w="2605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上一年项目数量</w:t>
            </w:r>
          </w:p>
        </w:tc>
        <w:tc>
          <w:tcPr>
            <w:tcW w:w="5532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本年增/减</w:t>
            </w:r>
          </w:p>
        </w:tc>
      </w:tr>
      <w:tr w:rsidR="001F2443" w:rsidRPr="00F235EE" w:rsidTr="00CD676A">
        <w:trPr>
          <w:trHeight w:val="567"/>
          <w:jc w:val="center"/>
        </w:trPr>
        <w:tc>
          <w:tcPr>
            <w:tcW w:w="207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行政事业性收费</w:t>
            </w:r>
          </w:p>
        </w:tc>
        <w:tc>
          <w:tcPr>
            <w:tcW w:w="2605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32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jc w:val="center"/>
        </w:trPr>
        <w:tc>
          <w:tcPr>
            <w:tcW w:w="10211" w:type="dxa"/>
            <w:gridSpan w:val="5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第二十条第（九）项</w:t>
            </w:r>
          </w:p>
        </w:tc>
      </w:tr>
      <w:tr w:rsidR="001F2443" w:rsidRPr="00F235EE" w:rsidTr="00CD676A">
        <w:trPr>
          <w:trHeight w:val="567"/>
          <w:jc w:val="center"/>
        </w:trPr>
        <w:tc>
          <w:tcPr>
            <w:tcW w:w="207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信息内容</w:t>
            </w:r>
          </w:p>
        </w:tc>
        <w:tc>
          <w:tcPr>
            <w:tcW w:w="2605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采购项目数量</w:t>
            </w:r>
          </w:p>
        </w:tc>
        <w:tc>
          <w:tcPr>
            <w:tcW w:w="5532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采购总金额</w:t>
            </w:r>
          </w:p>
        </w:tc>
      </w:tr>
      <w:tr w:rsidR="001F2443" w:rsidRPr="00F235EE" w:rsidTr="00CD676A">
        <w:trPr>
          <w:trHeight w:val="567"/>
          <w:jc w:val="center"/>
        </w:trPr>
        <w:tc>
          <w:tcPr>
            <w:tcW w:w="207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政府集中采购</w:t>
            </w:r>
          </w:p>
        </w:tc>
        <w:tc>
          <w:tcPr>
            <w:tcW w:w="2605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22</w:t>
            </w:r>
          </w:p>
        </w:tc>
        <w:tc>
          <w:tcPr>
            <w:tcW w:w="5532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144.32万</w:t>
            </w:r>
          </w:p>
        </w:tc>
      </w:tr>
    </w:tbl>
    <w:p w:rsidR="001F2443" w:rsidRPr="00F235EE" w:rsidRDefault="001F2443" w:rsidP="003B7BD6">
      <w:pPr>
        <w:jc w:val="center"/>
        <w:rPr>
          <w:rFonts w:ascii="Tahoma" w:hAnsi="Tahoma" w:cs="Tahoma"/>
          <w:color w:val="000000" w:themeColor="text1"/>
          <w:sz w:val="44"/>
          <w:szCs w:val="44"/>
        </w:rPr>
      </w:pPr>
    </w:p>
    <w:p w:rsidR="001F2443" w:rsidRPr="007D50C6" w:rsidRDefault="001F2443" w:rsidP="007D50C6">
      <w:pPr>
        <w:widowControl/>
        <w:spacing w:line="480" w:lineRule="atLeast"/>
        <w:ind w:firstLine="48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24"/>
        </w:rPr>
      </w:pPr>
      <w:r w:rsidRPr="007D50C6">
        <w:rPr>
          <w:rFonts w:ascii="黑体" w:eastAsia="黑体" w:hAnsi="黑体" w:cs="宋体" w:hint="eastAsia"/>
          <w:color w:val="000000" w:themeColor="text1"/>
          <w:kern w:val="0"/>
          <w:sz w:val="32"/>
          <w:szCs w:val="24"/>
        </w:rPr>
        <w:t>三、收到和处理政府信息公开申请情况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5"/>
        <w:gridCol w:w="1141"/>
        <w:gridCol w:w="2029"/>
        <w:gridCol w:w="839"/>
        <w:gridCol w:w="709"/>
        <w:gridCol w:w="709"/>
        <w:gridCol w:w="992"/>
        <w:gridCol w:w="814"/>
        <w:gridCol w:w="570"/>
        <w:gridCol w:w="541"/>
      </w:tblGrid>
      <w:tr w:rsidR="001F2443" w:rsidRPr="00F235EE" w:rsidTr="00CD676A">
        <w:trPr>
          <w:jc w:val="center"/>
        </w:trPr>
        <w:tc>
          <w:tcPr>
            <w:tcW w:w="4225" w:type="dxa"/>
            <w:gridSpan w:val="3"/>
            <w:vMerge w:val="restart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174" w:type="dxa"/>
            <w:gridSpan w:val="7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申请人情况</w:t>
            </w:r>
          </w:p>
        </w:tc>
      </w:tr>
      <w:tr w:rsidR="001F2443" w:rsidRPr="00F235EE" w:rsidTr="00CD676A">
        <w:trPr>
          <w:jc w:val="center"/>
        </w:trPr>
        <w:tc>
          <w:tcPr>
            <w:tcW w:w="4225" w:type="dxa"/>
            <w:gridSpan w:val="3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自然人</w:t>
            </w:r>
          </w:p>
        </w:tc>
        <w:tc>
          <w:tcPr>
            <w:tcW w:w="3794" w:type="dxa"/>
            <w:gridSpan w:val="5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法人或其他组织</w:t>
            </w:r>
          </w:p>
        </w:tc>
        <w:tc>
          <w:tcPr>
            <w:tcW w:w="541" w:type="dxa"/>
            <w:vMerge w:val="restart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总计</w:t>
            </w:r>
          </w:p>
        </w:tc>
      </w:tr>
      <w:tr w:rsidR="001F2443" w:rsidRPr="00F235EE" w:rsidTr="00CD676A">
        <w:trPr>
          <w:jc w:val="center"/>
        </w:trPr>
        <w:tc>
          <w:tcPr>
            <w:tcW w:w="4225" w:type="dxa"/>
            <w:gridSpan w:val="3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商业企业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科研机构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社会公益组织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法律服务机构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其他</w:t>
            </w:r>
          </w:p>
        </w:tc>
        <w:tc>
          <w:tcPr>
            <w:tcW w:w="541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1F2443" w:rsidRPr="00F235EE" w:rsidTr="00CD676A">
        <w:trPr>
          <w:trHeight w:val="345"/>
          <w:jc w:val="center"/>
        </w:trPr>
        <w:tc>
          <w:tcPr>
            <w:tcW w:w="4225" w:type="dxa"/>
            <w:gridSpan w:val="3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一、本年新收到政府信息公开申请数量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</w:t>
            </w:r>
          </w:p>
        </w:tc>
      </w:tr>
      <w:tr w:rsidR="001F2443" w:rsidRPr="00F235EE" w:rsidTr="00CD676A">
        <w:trPr>
          <w:trHeight w:val="407"/>
          <w:jc w:val="center"/>
        </w:trPr>
        <w:tc>
          <w:tcPr>
            <w:tcW w:w="4225" w:type="dxa"/>
            <w:gridSpan w:val="3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二、上年转结政府信息公开申请数量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jc w:val="center"/>
        </w:trPr>
        <w:tc>
          <w:tcPr>
            <w:tcW w:w="1055" w:type="dxa"/>
            <w:vMerge w:val="restart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三、本年度办理结果</w:t>
            </w:r>
          </w:p>
        </w:tc>
        <w:tc>
          <w:tcPr>
            <w:tcW w:w="3170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（一）予以公开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</w:t>
            </w:r>
          </w:p>
        </w:tc>
      </w:tr>
      <w:tr w:rsidR="001F2443" w:rsidRPr="00F235EE" w:rsidTr="00CD676A">
        <w:trPr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3170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（三）不予公开</w:t>
            </w: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1.属于国家秘密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2.其他法律行政法规禁止公开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trHeight w:val="354"/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3.危及“三安全一稳定”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trHeight w:val="445"/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4.保护第三方合法权益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5.属于三类内部事务信息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trHeight w:val="461"/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6.属于四类过程性信息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trHeight w:val="422"/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7.属于行政执法案卷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trHeight w:val="402"/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8.属于行政查询事项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（四）无法提供</w:t>
            </w: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1.本机关不掌握相关政府信息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2.没有现成信息需要另行制作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3.补正后申请内容仍不明确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trHeight w:val="440"/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（五）不予处理</w:t>
            </w: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1.信访举报投诉类申请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trHeight w:val="419"/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2.重复申请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trHeight w:val="411"/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3.要求提供公开出版物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4.无正当理由大量反复申请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5.要求行政机关确认或重新出具已获取信息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trHeight w:val="435"/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3170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（六）其他处理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  <w:tr w:rsidR="001F2443" w:rsidRPr="00F235EE" w:rsidTr="00CD676A">
        <w:trPr>
          <w:trHeight w:val="399"/>
          <w:jc w:val="center"/>
        </w:trPr>
        <w:tc>
          <w:tcPr>
            <w:tcW w:w="1055" w:type="dxa"/>
            <w:vMerge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3170" w:type="dxa"/>
            <w:gridSpan w:val="2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（七）总计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</w:t>
            </w:r>
          </w:p>
        </w:tc>
      </w:tr>
      <w:tr w:rsidR="001F2443" w:rsidRPr="00F235EE" w:rsidTr="00CD676A">
        <w:trPr>
          <w:trHeight w:val="432"/>
          <w:jc w:val="center"/>
        </w:trPr>
        <w:tc>
          <w:tcPr>
            <w:tcW w:w="4225" w:type="dxa"/>
            <w:gridSpan w:val="3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四、转结下年度继续办理</w:t>
            </w:r>
          </w:p>
        </w:tc>
        <w:tc>
          <w:tcPr>
            <w:tcW w:w="83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14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70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41" w:type="dxa"/>
            <w:vAlign w:val="center"/>
          </w:tcPr>
          <w:p w:rsidR="001F2443" w:rsidRPr="00F235EE" w:rsidRDefault="001F2443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</w:tbl>
    <w:p w:rsidR="00F235EE" w:rsidRPr="00F235EE" w:rsidRDefault="00F235EE" w:rsidP="00F235EE">
      <w:pPr>
        <w:jc w:val="left"/>
        <w:rPr>
          <w:rFonts w:ascii="黑体" w:eastAsia="黑体" w:hAnsi="黑体"/>
          <w:color w:val="000000" w:themeColor="text1"/>
          <w:sz w:val="28"/>
        </w:rPr>
      </w:pPr>
    </w:p>
    <w:p w:rsidR="00F235EE" w:rsidRPr="00F235EE" w:rsidRDefault="00F235EE" w:rsidP="00F235EE">
      <w:pPr>
        <w:jc w:val="left"/>
        <w:rPr>
          <w:rFonts w:ascii="黑体" w:eastAsia="黑体" w:hAnsi="黑体"/>
          <w:color w:val="000000" w:themeColor="text1"/>
          <w:sz w:val="28"/>
        </w:rPr>
      </w:pPr>
    </w:p>
    <w:p w:rsidR="00F235EE" w:rsidRPr="00F235EE" w:rsidRDefault="00F235EE" w:rsidP="00F235EE">
      <w:pPr>
        <w:jc w:val="left"/>
        <w:rPr>
          <w:rFonts w:ascii="黑体" w:eastAsia="黑体" w:hAnsi="黑体"/>
          <w:color w:val="000000" w:themeColor="text1"/>
          <w:sz w:val="28"/>
        </w:rPr>
      </w:pPr>
    </w:p>
    <w:p w:rsidR="00F235EE" w:rsidRPr="00F235EE" w:rsidRDefault="00F235EE" w:rsidP="00F235EE">
      <w:pPr>
        <w:jc w:val="left"/>
        <w:rPr>
          <w:rFonts w:ascii="黑体" w:eastAsia="黑体" w:hAnsi="黑体"/>
          <w:color w:val="000000" w:themeColor="text1"/>
          <w:sz w:val="28"/>
        </w:rPr>
      </w:pPr>
    </w:p>
    <w:p w:rsidR="00F235EE" w:rsidRPr="00F235EE" w:rsidRDefault="00F235EE" w:rsidP="00F235EE">
      <w:pPr>
        <w:jc w:val="left"/>
        <w:rPr>
          <w:rFonts w:ascii="黑体" w:eastAsia="黑体" w:hAnsi="黑体"/>
          <w:color w:val="000000" w:themeColor="text1"/>
          <w:sz w:val="28"/>
        </w:rPr>
      </w:pPr>
    </w:p>
    <w:p w:rsidR="001F2443" w:rsidRPr="007D50C6" w:rsidRDefault="00F235EE" w:rsidP="007D50C6">
      <w:pPr>
        <w:widowControl/>
        <w:spacing w:line="480" w:lineRule="atLeast"/>
        <w:ind w:firstLine="48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24"/>
        </w:rPr>
      </w:pPr>
      <w:r w:rsidRPr="007D50C6">
        <w:rPr>
          <w:rFonts w:ascii="黑体" w:eastAsia="黑体" w:hAnsi="黑体" w:cs="宋体" w:hint="eastAsia"/>
          <w:color w:val="000000" w:themeColor="text1"/>
          <w:kern w:val="0"/>
          <w:sz w:val="32"/>
          <w:szCs w:val="24"/>
        </w:rPr>
        <w:t>四、政府信息公开行政复议、行政诉讼情况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4"/>
      </w:tblGrid>
      <w:tr w:rsidR="00F235EE" w:rsidRPr="00F235EE" w:rsidTr="00CD676A">
        <w:trPr>
          <w:jc w:val="center"/>
        </w:trPr>
        <w:tc>
          <w:tcPr>
            <w:tcW w:w="2765" w:type="dxa"/>
            <w:gridSpan w:val="5"/>
            <w:vMerge w:val="restart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行政复议</w:t>
            </w:r>
          </w:p>
        </w:tc>
        <w:tc>
          <w:tcPr>
            <w:tcW w:w="5531" w:type="dxa"/>
            <w:gridSpan w:val="10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行政诉讼</w:t>
            </w:r>
          </w:p>
        </w:tc>
      </w:tr>
      <w:tr w:rsidR="00F235EE" w:rsidRPr="00F235EE" w:rsidTr="00CD676A">
        <w:trPr>
          <w:jc w:val="center"/>
        </w:trPr>
        <w:tc>
          <w:tcPr>
            <w:tcW w:w="2765" w:type="dxa"/>
            <w:gridSpan w:val="5"/>
            <w:vMerge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2765" w:type="dxa"/>
            <w:gridSpan w:val="5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未经复议直接起诉</w:t>
            </w:r>
          </w:p>
        </w:tc>
        <w:tc>
          <w:tcPr>
            <w:tcW w:w="2766" w:type="dxa"/>
            <w:gridSpan w:val="5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F235EE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复议后起诉</w:t>
            </w:r>
          </w:p>
        </w:tc>
      </w:tr>
      <w:tr w:rsidR="00F235EE" w:rsidRPr="00F235EE" w:rsidTr="00CD676A">
        <w:trPr>
          <w:jc w:val="center"/>
        </w:trPr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结果维持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结果纠正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其他结果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尚未审结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总计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结果维持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结果纠正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其他结果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尚未审结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总计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结果维持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结果纠正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其他结果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尚未审结</w:t>
            </w:r>
          </w:p>
        </w:tc>
        <w:tc>
          <w:tcPr>
            <w:tcW w:w="554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总计</w:t>
            </w:r>
          </w:p>
        </w:tc>
      </w:tr>
      <w:tr w:rsidR="00F235EE" w:rsidRPr="00F235EE" w:rsidTr="00CD676A">
        <w:trPr>
          <w:trHeight w:val="830"/>
          <w:jc w:val="center"/>
        </w:trPr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3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554" w:type="dxa"/>
            <w:vAlign w:val="center"/>
          </w:tcPr>
          <w:p w:rsidR="00F235EE" w:rsidRPr="00F235EE" w:rsidRDefault="00F235EE" w:rsidP="00CD676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F235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0</w:t>
            </w:r>
          </w:p>
        </w:tc>
      </w:tr>
    </w:tbl>
    <w:p w:rsidR="00F235EE" w:rsidRPr="00F235EE" w:rsidRDefault="00F235EE" w:rsidP="00F235EE">
      <w:pPr>
        <w:widowControl/>
        <w:spacing w:line="480" w:lineRule="atLeast"/>
        <w:ind w:firstLine="48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24"/>
        </w:rPr>
      </w:pPr>
      <w:r w:rsidRPr="00F235EE">
        <w:rPr>
          <w:rFonts w:ascii="黑体" w:eastAsia="黑体" w:hAnsi="黑体" w:cs="宋体" w:hint="eastAsia"/>
          <w:color w:val="000000" w:themeColor="text1"/>
          <w:kern w:val="0"/>
          <w:sz w:val="32"/>
          <w:szCs w:val="24"/>
        </w:rPr>
        <w:t>五、存在的主要问题及改进情况</w:t>
      </w:r>
    </w:p>
    <w:p w:rsidR="00F235EE" w:rsidRPr="00F235EE" w:rsidRDefault="00F235EE" w:rsidP="00F235EE">
      <w:pPr>
        <w:widowControl/>
        <w:spacing w:line="480" w:lineRule="atLeas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24"/>
        </w:rPr>
      </w:pPr>
      <w:r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存在的主要问题：一是“政务五公开”有待进一步深入推进；二是政府信息公开缺乏系统性；三是重大行政决策预公开有待加强；四是重点领域政府信息公开有待完善；五是缺乏政策解读；六是回应社会关切发布质量有待提高。</w:t>
      </w:r>
    </w:p>
    <w:p w:rsidR="00F235EE" w:rsidRPr="00F235EE" w:rsidRDefault="00F235EE" w:rsidP="00F235EE">
      <w:pPr>
        <w:widowControl/>
        <w:spacing w:line="480" w:lineRule="atLeas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24"/>
        </w:rPr>
      </w:pPr>
      <w:r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2019年改进情况：一是以机构改革为契机，对政务公开的机制、人员机构等进行了完善；二是对门户网站“政务公开”栏目的内容进行了整体的更新和完善；三是进一步增强了政务发布的质量和数量。</w:t>
      </w:r>
    </w:p>
    <w:p w:rsidR="00F235EE" w:rsidRPr="00F235EE" w:rsidRDefault="00F235EE" w:rsidP="00F235EE">
      <w:pPr>
        <w:widowControl/>
        <w:spacing w:line="480" w:lineRule="atLeas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24"/>
        </w:rPr>
      </w:pPr>
      <w:r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2020年，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浒山</w:t>
      </w:r>
      <w:r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街道将进一步健全政务公开常态长效机制，全面深化政务公开工作，进一步促进政务公开规范化、制度化、常态化。</w:t>
      </w:r>
    </w:p>
    <w:p w:rsidR="00F235EE" w:rsidRPr="00F235EE" w:rsidRDefault="00F235EE" w:rsidP="00F235EE">
      <w:pPr>
        <w:widowControl/>
        <w:spacing w:line="480" w:lineRule="atLeast"/>
        <w:ind w:firstLine="48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24"/>
        </w:rPr>
      </w:pPr>
      <w:r w:rsidRPr="00F235EE">
        <w:rPr>
          <w:rFonts w:ascii="黑体" w:eastAsia="黑体" w:hAnsi="黑体" w:cs="宋体" w:hint="eastAsia"/>
          <w:color w:val="000000" w:themeColor="text1"/>
          <w:kern w:val="0"/>
          <w:sz w:val="32"/>
          <w:szCs w:val="24"/>
        </w:rPr>
        <w:t>六、其他需要报告的事项</w:t>
      </w:r>
    </w:p>
    <w:p w:rsidR="00F235EE" w:rsidRPr="009E3ACA" w:rsidRDefault="00F235EE" w:rsidP="009E3ACA">
      <w:pPr>
        <w:widowControl/>
        <w:spacing w:line="480" w:lineRule="atLeas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24"/>
        </w:rPr>
      </w:pPr>
      <w:r w:rsidRPr="00F235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24"/>
        </w:rPr>
        <w:t>无。</w:t>
      </w:r>
    </w:p>
    <w:sectPr w:rsidR="00F235EE" w:rsidRPr="009E3ACA" w:rsidSect="00554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7A8" w:rsidRDefault="008457A8" w:rsidP="001F2443">
      <w:r>
        <w:separator/>
      </w:r>
    </w:p>
  </w:endnote>
  <w:endnote w:type="continuationSeparator" w:id="1">
    <w:p w:rsidR="008457A8" w:rsidRDefault="008457A8" w:rsidP="001F2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7A8" w:rsidRDefault="008457A8" w:rsidP="001F2443">
      <w:r>
        <w:separator/>
      </w:r>
    </w:p>
  </w:footnote>
  <w:footnote w:type="continuationSeparator" w:id="1">
    <w:p w:rsidR="008457A8" w:rsidRDefault="008457A8" w:rsidP="001F2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BD6"/>
    <w:rsid w:val="001F2443"/>
    <w:rsid w:val="003B7BD6"/>
    <w:rsid w:val="005023AF"/>
    <w:rsid w:val="005543D0"/>
    <w:rsid w:val="00761800"/>
    <w:rsid w:val="007D50C6"/>
    <w:rsid w:val="008457A8"/>
    <w:rsid w:val="00920D14"/>
    <w:rsid w:val="009E3ACA"/>
    <w:rsid w:val="00CD676A"/>
    <w:rsid w:val="00E47F52"/>
    <w:rsid w:val="00F235EE"/>
    <w:rsid w:val="00F6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BD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F2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24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2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24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440">
                      <w:marLeft w:val="0"/>
                      <w:marRight w:val="0"/>
                      <w:marTop w:val="30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6504">
                      <w:marLeft w:val="0"/>
                      <w:marRight w:val="0"/>
                      <w:marTop w:val="30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6</cp:revision>
  <dcterms:created xsi:type="dcterms:W3CDTF">2020-02-27T00:12:00Z</dcterms:created>
  <dcterms:modified xsi:type="dcterms:W3CDTF">2020-02-28T08:03:00Z</dcterms:modified>
</cp:coreProperties>
</file>