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慈溪市城市绿化“边角料”地块专项整治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联络员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回执单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890"/>
        <w:gridCol w:w="222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镇（街道）名称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分管领导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联系方式（手机）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联系方式（手机）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请于4月10日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前报送至市园林绿化中心。联系人：胡青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慈溪市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城市绿化“边角料”地块专项整治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排摸表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3"/>
          <w:szCs w:val="13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40"/>
        <w:gridCol w:w="1890"/>
        <w:gridCol w:w="222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所属镇（街道）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现状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慈溪市城市绿化“边角料”地块专项整治整改落实表</w:t>
      </w:r>
    </w:p>
    <w:p>
      <w:pPr>
        <w:spacing w:line="240" w:lineRule="exact"/>
        <w:jc w:val="left"/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53"/>
        <w:gridCol w:w="4192"/>
        <w:gridCol w:w="1140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2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所属镇（街道）</w:t>
            </w:r>
          </w:p>
        </w:tc>
        <w:tc>
          <w:tcPr>
            <w:tcW w:w="6387" w:type="dxa"/>
            <w:gridSpan w:val="3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2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位置</w:t>
            </w:r>
          </w:p>
        </w:tc>
        <w:tc>
          <w:tcPr>
            <w:tcW w:w="4192" w:type="dxa"/>
          </w:tcPr>
          <w:p>
            <w:pPr>
              <w:spacing w:line="480" w:lineRule="auto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0" w:type="dxa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</w:rPr>
              <w:t>面积（㎡）</w:t>
            </w:r>
          </w:p>
        </w:tc>
        <w:tc>
          <w:tcPr>
            <w:tcW w:w="1055" w:type="dxa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2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责任单位（业主）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2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养管单位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整改效果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整改前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（简要文字说明，并附照片）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  <w:jc w:val="center"/>
        </w:trPr>
        <w:tc>
          <w:tcPr>
            <w:tcW w:w="780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整改后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（简要文字说明，并附照片）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FF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TQwNjIyYTVjMTkwZWY5MGYyNThiYTdlY2M3YmEifQ=="/>
  </w:docVars>
  <w:rsids>
    <w:rsidRoot w:val="52E76460"/>
    <w:rsid w:val="315140D7"/>
    <w:rsid w:val="52E76460"/>
    <w:rsid w:val="592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217</Characters>
  <Lines>0</Lines>
  <Paragraphs>0</Paragraphs>
  <TotalTime>0</TotalTime>
  <ScaleCrop>false</ScaleCrop>
  <LinksUpToDate>false</LinksUpToDate>
  <CharactersWithSpaces>217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2023-04-07T03:32:00Z</dcterms:created>
  <dc:creator>Administrator</dc:creator>
  <cp:lastModifiedBy>黄小一</cp:lastModifiedBy>
  <dcterms:modified xsi:type="dcterms:W3CDTF">2023-10-25T03:25:51Z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CA817FF6C01F438FA0A8F5844DA5A854</vt:lpwstr>
  </property>
</Properties>
</file>