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用户水龙头（管网末梢水）水质监测结果</w:t>
      </w:r>
    </w:p>
    <w:p>
      <w:pPr>
        <w:jc w:val="center"/>
        <w:rPr>
          <w:color w:val="000000"/>
          <w:sz w:val="32"/>
          <w:szCs w:val="32"/>
        </w:rPr>
      </w:pPr>
      <w:r>
        <w:rPr>
          <w:rFonts w:hint="eastAsia"/>
          <w:color w:val="000000"/>
          <w:sz w:val="32"/>
          <w:szCs w:val="32"/>
        </w:rPr>
        <w:t>（</w:t>
      </w:r>
      <w:r>
        <w:rPr>
          <w:rFonts w:hint="eastAsia"/>
          <w:color w:val="000000"/>
          <w:sz w:val="32"/>
          <w:szCs w:val="32"/>
          <w:lang w:eastAsia="zh-CN"/>
        </w:rPr>
        <w:t>202</w:t>
      </w:r>
      <w:r>
        <w:rPr>
          <w:rFonts w:hint="eastAsia"/>
          <w:color w:val="000000"/>
          <w:sz w:val="32"/>
          <w:szCs w:val="32"/>
          <w:lang w:val="en-US" w:eastAsia="zh-CN"/>
        </w:rPr>
        <w:t>5</w:t>
      </w:r>
      <w:r>
        <w:rPr>
          <w:rFonts w:hint="eastAsia"/>
          <w:color w:val="000000"/>
          <w:sz w:val="32"/>
          <w:szCs w:val="32"/>
        </w:rPr>
        <w:t>年</w:t>
      </w:r>
      <w:r>
        <w:rPr>
          <w:rFonts w:hint="eastAsia"/>
          <w:color w:val="000000"/>
          <w:sz w:val="32"/>
          <w:szCs w:val="32"/>
          <w:lang w:eastAsia="zh-CN"/>
        </w:rPr>
        <w:t>第三季度</w:t>
      </w:r>
      <w:r>
        <w:rPr>
          <w:rFonts w:hint="eastAsia"/>
          <w:color w:val="000000"/>
          <w:sz w:val="32"/>
          <w:szCs w:val="32"/>
        </w:rPr>
        <w:t>）</w:t>
      </w:r>
    </w:p>
    <w:p>
      <w:pPr>
        <w:rPr>
          <w:rFonts w:ascii="宋体"/>
          <w:color w:val="000000"/>
          <w:sz w:val="28"/>
          <w:szCs w:val="28"/>
        </w:rPr>
      </w:pPr>
      <w:r>
        <w:rPr>
          <w:rFonts w:hint="eastAsia" w:ascii="宋体" w:hAnsi="宋体"/>
          <w:color w:val="000000"/>
          <w:sz w:val="28"/>
          <w:szCs w:val="28"/>
        </w:rPr>
        <w:t>信息发布单位：慈溪市卫生健康局</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82"/>
        <w:gridCol w:w="2611"/>
        <w:gridCol w:w="1487"/>
        <w:gridCol w:w="1384"/>
        <w:gridCol w:w="1605"/>
        <w:gridCol w:w="13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4" w:hRule="atLeast"/>
          <w:tblHeader/>
        </w:trPr>
        <w:tc>
          <w:tcPr>
            <w:tcW w:w="701"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序号</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指标</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限值</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监测</w:t>
            </w:r>
          </w:p>
          <w:p>
            <w:pPr>
              <w:jc w:val="center"/>
              <w:rPr>
                <w:rFonts w:ascii="宋体" w:cs="宋体"/>
                <w:color w:val="000000"/>
                <w:kern w:val="0"/>
                <w:sz w:val="24"/>
                <w:szCs w:val="24"/>
              </w:rPr>
            </w:pPr>
            <w:r>
              <w:rPr>
                <w:rFonts w:hint="eastAsia" w:ascii="宋体" w:hAnsi="宋体" w:cs="宋体"/>
                <w:color w:val="000000"/>
                <w:kern w:val="0"/>
                <w:sz w:val="24"/>
                <w:szCs w:val="24"/>
              </w:rPr>
              <w:t>结果</w:t>
            </w:r>
          </w:p>
        </w:tc>
        <w:tc>
          <w:tcPr>
            <w:tcW w:w="81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监测指标合格率（℅）</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1</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菌落总数</w:t>
            </w:r>
            <w:r>
              <w:rPr>
                <w:rFonts w:cs="宋体"/>
                <w:color w:val="000000"/>
                <w:kern w:val="0"/>
                <w:szCs w:val="21"/>
              </w:rPr>
              <w:t>(CFU/mL)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2</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砷</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3</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镉</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0.005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4</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铬</w:t>
            </w:r>
            <w:r>
              <w:rPr>
                <w:rFonts w:cs="宋体"/>
                <w:color w:val="000000"/>
                <w:kern w:val="0"/>
                <w:szCs w:val="21"/>
              </w:rPr>
              <w:t>(</w:t>
            </w:r>
            <w:r>
              <w:rPr>
                <w:rFonts w:hint="eastAsia" w:ascii="宋体" w:hAnsi="宋体" w:cs="宋体"/>
                <w:color w:val="000000"/>
                <w:kern w:val="0"/>
                <w:szCs w:val="21"/>
              </w:rPr>
              <w:t>六价</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5</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铅</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6</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汞</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7</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氰化物</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8</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氟化物</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eastAsia" w:eastAsia="宋体" w:cs="宋体"/>
                <w:color w:val="000000"/>
                <w:kern w:val="0"/>
                <w:sz w:val="24"/>
                <w:szCs w:val="24"/>
                <w:lang w:eastAsia="zh-CN"/>
              </w:rPr>
            </w:pPr>
            <w:r>
              <w:rPr>
                <w:rFonts w:hint="eastAsia" w:cs="宋体"/>
                <w:color w:val="000000"/>
                <w:kern w:val="0"/>
                <w:sz w:val="24"/>
                <w:szCs w:val="24"/>
                <w:lang w:val="en-US" w:eastAsia="zh-CN"/>
              </w:rPr>
              <w:t>9</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硝酸盐</w:t>
            </w:r>
            <w:r>
              <w:rPr>
                <w:rFonts w:cs="宋体"/>
                <w:color w:val="000000"/>
                <w:kern w:val="0"/>
                <w:szCs w:val="21"/>
              </w:rPr>
              <w:t>(</w:t>
            </w:r>
            <w:r>
              <w:rPr>
                <w:rFonts w:hint="eastAsia" w:ascii="宋体" w:hAnsi="宋体" w:cs="宋体"/>
                <w:color w:val="000000"/>
                <w:kern w:val="0"/>
                <w:szCs w:val="21"/>
              </w:rPr>
              <w:t>以</w:t>
            </w:r>
            <w:r>
              <w:rPr>
                <w:rFonts w:cs="宋体"/>
                <w:color w:val="000000"/>
                <w:kern w:val="0"/>
                <w:szCs w:val="21"/>
              </w:rPr>
              <w:t>N</w:t>
            </w:r>
            <w:r>
              <w:rPr>
                <w:rFonts w:hint="eastAsia" w:ascii="宋体" w:hAnsi="宋体" w:cs="宋体"/>
                <w:color w:val="000000"/>
                <w:kern w:val="0"/>
                <w:szCs w:val="21"/>
              </w:rPr>
              <w:t>计，</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10</w:t>
            </w:r>
          </w:p>
        </w:tc>
        <w:tc>
          <w:tcPr>
            <w:tcW w:w="1324" w:type="pct"/>
            <w:vAlign w:val="center"/>
          </w:tcPr>
          <w:p>
            <w:pPr>
              <w:widowControl/>
              <w:jc w:val="center"/>
              <w:rPr>
                <w:rFonts w:hint="default" w:ascii="宋体" w:eastAsia="宋体" w:cs="宋体"/>
                <w:color w:val="000000"/>
                <w:kern w:val="0"/>
                <w:sz w:val="24"/>
                <w:szCs w:val="24"/>
                <w:lang w:val="en-US" w:eastAsia="zh-CN"/>
              </w:rPr>
            </w:pPr>
            <w:r>
              <w:rPr>
                <w:rFonts w:hint="default" w:ascii="宋体" w:eastAsia="宋体" w:cs="宋体"/>
                <w:color w:val="000000"/>
                <w:kern w:val="0"/>
                <w:sz w:val="24"/>
                <w:szCs w:val="24"/>
                <w:lang w:val="en-US" w:eastAsia="zh-CN"/>
              </w:rPr>
              <w:t>三氯甲烷</w:t>
            </w:r>
            <w:r>
              <w:rPr>
                <w:rFonts w:cs="宋体"/>
                <w:color w:val="000000"/>
                <w:kern w:val="0"/>
                <w:szCs w:val="21"/>
              </w:rPr>
              <w:t>(mg/L)</w:t>
            </w:r>
          </w:p>
        </w:tc>
        <w:tc>
          <w:tcPr>
            <w:tcW w:w="754" w:type="pct"/>
            <w:vAlign w:val="center"/>
          </w:tcPr>
          <w:p>
            <w:pPr>
              <w:widowControl/>
              <w:jc w:val="center"/>
              <w:rPr>
                <w:rFonts w:hint="eastAsia" w:ascii="宋体" w:eastAsia="宋体" w:cs="宋体"/>
                <w:color w:val="000000"/>
                <w:kern w:val="0"/>
                <w:sz w:val="24"/>
                <w:szCs w:val="24"/>
                <w:lang w:val="en-US" w:eastAsia="zh-CN"/>
              </w:rPr>
            </w:pPr>
            <w:r>
              <w:rPr>
                <w:rFonts w:hint="eastAsia" w:ascii="宋体" w:hAnsi="宋体" w:cs="宋体"/>
                <w:color w:val="000000"/>
                <w:kern w:val="0"/>
                <w:sz w:val="24"/>
                <w:szCs w:val="24"/>
              </w:rPr>
              <w:t>≤</w:t>
            </w:r>
            <w:r>
              <w:rPr>
                <w:rFonts w:cs="宋体"/>
                <w:color w:val="000000"/>
                <w:kern w:val="0"/>
                <w:sz w:val="24"/>
                <w:szCs w:val="24"/>
              </w:rPr>
              <w:t>0.0</w:t>
            </w:r>
            <w:r>
              <w:rPr>
                <w:rFonts w:hint="eastAsia" w:cs="宋体"/>
                <w:color w:val="000000"/>
                <w:kern w:val="0"/>
                <w:sz w:val="24"/>
                <w:szCs w:val="24"/>
                <w:lang w:val="en-US" w:eastAsia="zh-CN"/>
              </w:rPr>
              <w:t>6</w:t>
            </w:r>
          </w:p>
        </w:tc>
        <w:tc>
          <w:tcPr>
            <w:tcW w:w="702" w:type="pct"/>
            <w:vAlign w:val="center"/>
          </w:tcPr>
          <w:p>
            <w:pPr>
              <w:widowControl/>
              <w:jc w:val="center"/>
              <w:rPr>
                <w:rFonts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11</w:t>
            </w:r>
          </w:p>
        </w:tc>
        <w:tc>
          <w:tcPr>
            <w:tcW w:w="1324" w:type="pct"/>
            <w:vAlign w:val="center"/>
          </w:tcPr>
          <w:p>
            <w:pPr>
              <w:widowControl/>
              <w:jc w:val="center"/>
              <w:rPr>
                <w:rFonts w:hint="default" w:ascii="宋体" w:eastAsia="宋体" w:cs="宋体"/>
                <w:color w:val="000000"/>
                <w:kern w:val="0"/>
                <w:sz w:val="24"/>
                <w:szCs w:val="24"/>
                <w:lang w:val="en-US" w:eastAsia="zh-CN"/>
              </w:rPr>
            </w:pPr>
            <w:r>
              <w:rPr>
                <w:rFonts w:hint="default" w:ascii="宋体" w:eastAsia="宋体" w:cs="宋体"/>
                <w:color w:val="000000"/>
                <w:kern w:val="0"/>
                <w:sz w:val="24"/>
                <w:szCs w:val="24"/>
                <w:lang w:val="en-US" w:eastAsia="zh-CN"/>
              </w:rPr>
              <w:t>一氯二溴甲烷</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12</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二氯一溴甲烷</w:t>
            </w:r>
            <w:r>
              <w:rPr>
                <w:rFonts w:cs="宋体"/>
                <w:color w:val="000000"/>
                <w:kern w:val="0"/>
                <w:szCs w:val="21"/>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0.0</w:t>
            </w:r>
            <w:r>
              <w:rPr>
                <w:rFonts w:hint="eastAsia" w:cs="宋体"/>
                <w:color w:val="000000"/>
                <w:kern w:val="0"/>
                <w:sz w:val="24"/>
                <w:szCs w:val="24"/>
                <w:lang w:val="en-US" w:eastAsia="zh-CN"/>
              </w:rPr>
              <w:t>6</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13</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三溴甲烷</w:t>
            </w:r>
            <w:r>
              <w:rPr>
                <w:rFonts w:cs="宋体"/>
                <w:color w:val="000000"/>
                <w:kern w:val="0"/>
                <w:szCs w:val="21"/>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14</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三卤甲烷</w:t>
            </w:r>
          </w:p>
        </w:tc>
        <w:tc>
          <w:tcPr>
            <w:tcW w:w="754" w:type="pct"/>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该类化合物中各种化合物的实测浓度与其各项限值的比值之和不超过</w:t>
            </w:r>
            <w:r>
              <w:rPr>
                <w:rFonts w:hint="eastAsia" w:ascii="宋体" w:hAnsi="宋体" w:cs="宋体"/>
                <w:color w:val="000000"/>
                <w:kern w:val="0"/>
                <w:sz w:val="24"/>
                <w:szCs w:val="24"/>
                <w:lang w:val="en-US" w:eastAsia="zh-CN"/>
              </w:rPr>
              <w:t>1</w:t>
            </w:r>
          </w:p>
        </w:tc>
        <w:tc>
          <w:tcPr>
            <w:tcW w:w="702" w:type="pct"/>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合格</w:t>
            </w:r>
          </w:p>
        </w:tc>
        <w:tc>
          <w:tcPr>
            <w:tcW w:w="814"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15</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二氯乙酸</w:t>
            </w:r>
            <w:r>
              <w:rPr>
                <w:rFonts w:cs="宋体"/>
                <w:color w:val="000000"/>
                <w:kern w:val="0"/>
                <w:szCs w:val="21"/>
              </w:rPr>
              <w:t>(mg/L)</w:t>
            </w:r>
          </w:p>
        </w:tc>
        <w:tc>
          <w:tcPr>
            <w:tcW w:w="754" w:type="pct"/>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w:t>
            </w:r>
            <w:r>
              <w:rPr>
                <w:rFonts w:cs="宋体"/>
                <w:color w:val="000000"/>
                <w:kern w:val="0"/>
                <w:sz w:val="24"/>
                <w:szCs w:val="24"/>
              </w:rPr>
              <w:t>0.0</w:t>
            </w:r>
            <w:r>
              <w:rPr>
                <w:rFonts w:hint="eastAsia" w:cs="宋体"/>
                <w:color w:val="000000"/>
                <w:kern w:val="0"/>
                <w:sz w:val="24"/>
                <w:szCs w:val="24"/>
                <w:lang w:val="en-US" w:eastAsia="zh-CN"/>
              </w:rPr>
              <w:t>5</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16</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三氯乙酸</w:t>
            </w:r>
            <w:r>
              <w:rPr>
                <w:rFonts w:cs="宋体"/>
                <w:color w:val="000000"/>
                <w:kern w:val="0"/>
                <w:szCs w:val="21"/>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17</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亚氯酸盐</w:t>
            </w:r>
            <w:r>
              <w:rPr>
                <w:rFonts w:cs="宋体"/>
                <w:color w:val="000000"/>
                <w:kern w:val="0"/>
                <w:szCs w:val="21"/>
              </w:rPr>
              <w:t>(mg/L)</w:t>
            </w:r>
          </w:p>
        </w:tc>
        <w:tc>
          <w:tcPr>
            <w:tcW w:w="754" w:type="pct"/>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w:t>
            </w:r>
            <w:r>
              <w:rPr>
                <w:rFonts w:cs="宋体"/>
                <w:color w:val="000000"/>
                <w:kern w:val="0"/>
                <w:sz w:val="24"/>
                <w:szCs w:val="24"/>
              </w:rPr>
              <w:t>0.</w:t>
            </w:r>
            <w:r>
              <w:rPr>
                <w:rFonts w:hint="eastAsia" w:cs="宋体"/>
                <w:color w:val="000000"/>
                <w:kern w:val="0"/>
                <w:sz w:val="24"/>
                <w:szCs w:val="24"/>
                <w:lang w:val="en-US" w:eastAsia="zh-CN"/>
              </w:rPr>
              <w:t>7</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18</w:t>
            </w:r>
          </w:p>
        </w:tc>
        <w:tc>
          <w:tcPr>
            <w:tcW w:w="132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氯酸盐</w:t>
            </w:r>
            <w:r>
              <w:rPr>
                <w:rFonts w:cs="宋体"/>
                <w:color w:val="000000"/>
                <w:kern w:val="0"/>
                <w:szCs w:val="21"/>
              </w:rPr>
              <w:t>(mg/L)</w:t>
            </w:r>
          </w:p>
        </w:tc>
        <w:tc>
          <w:tcPr>
            <w:tcW w:w="754" w:type="pct"/>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w:t>
            </w:r>
            <w:r>
              <w:rPr>
                <w:rFonts w:hint="eastAsia" w:cs="宋体"/>
                <w:color w:val="000000"/>
                <w:kern w:val="0"/>
                <w:sz w:val="24"/>
                <w:szCs w:val="24"/>
                <w:lang w:val="en-US" w:eastAsia="zh-CN"/>
              </w:rPr>
              <w:t>7</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19</w:t>
            </w:r>
          </w:p>
        </w:tc>
        <w:tc>
          <w:tcPr>
            <w:tcW w:w="132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色度</w:t>
            </w:r>
            <w:r>
              <w:rPr>
                <w:rFonts w:cs="宋体"/>
                <w:color w:val="000000"/>
                <w:kern w:val="0"/>
                <w:szCs w:val="21"/>
              </w:rPr>
              <w:t>(</w:t>
            </w:r>
            <w:r>
              <w:rPr>
                <w:rFonts w:hint="eastAsia" w:ascii="宋体" w:hAnsi="宋体" w:cs="宋体"/>
                <w:color w:val="000000"/>
                <w:kern w:val="0"/>
                <w:szCs w:val="21"/>
              </w:rPr>
              <w:t>铂钴色度单位</w:t>
            </w:r>
            <w:r>
              <w:rPr>
                <w:rFonts w:hint="eastAsia" w:ascii="宋体" w:hAnsi="宋体" w:cs="宋体"/>
                <w:color w:val="000000"/>
                <w:kern w:val="0"/>
                <w:szCs w:val="21"/>
                <w:lang w:val="en-US" w:eastAsia="zh-CN"/>
              </w:rPr>
              <w:t>,度</w:t>
            </w:r>
            <w:r>
              <w:rPr>
                <w:rFonts w:cs="宋体"/>
                <w:color w:val="000000"/>
                <w:kern w:val="0"/>
                <w:szCs w:val="21"/>
              </w:rPr>
              <w:t>)</w:t>
            </w:r>
          </w:p>
        </w:tc>
        <w:tc>
          <w:tcPr>
            <w:tcW w:w="754"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w:t>
            </w:r>
            <w:r>
              <w:rPr>
                <w:rFonts w:cs="宋体"/>
                <w:color w:val="000000"/>
                <w:kern w:val="0"/>
                <w:sz w:val="24"/>
                <w:szCs w:val="24"/>
              </w:rPr>
              <w:t>15</w:t>
            </w:r>
          </w:p>
        </w:tc>
        <w:tc>
          <w:tcPr>
            <w:tcW w:w="702" w:type="pct"/>
            <w:vAlign w:val="center"/>
          </w:tcPr>
          <w:p>
            <w:pPr>
              <w:widowControl/>
              <w:jc w:val="center"/>
              <w:rPr>
                <w:rFonts w:hint="eastAsia" w:ascii="宋体" w:hAnsi="Calibri" w:eastAsia="宋体" w:cs="宋体"/>
                <w:color w:val="000000"/>
                <w:kern w:val="0"/>
                <w:sz w:val="24"/>
                <w:szCs w:val="24"/>
                <w:lang w:val="en-US" w:eastAsia="zh-CN" w:bidi="ar-SA"/>
              </w:rPr>
            </w:pPr>
            <w:r>
              <w:rPr>
                <w:rFonts w:hint="eastAsia" w:ascii="宋体" w:hAnsi="宋体" w:cs="宋体"/>
                <w:color w:val="000000"/>
                <w:kern w:val="0"/>
                <w:sz w:val="24"/>
                <w:szCs w:val="24"/>
              </w:rPr>
              <w:t>合格</w:t>
            </w:r>
          </w:p>
        </w:tc>
        <w:tc>
          <w:tcPr>
            <w:tcW w:w="814" w:type="pct"/>
            <w:vAlign w:val="center"/>
          </w:tcPr>
          <w:p>
            <w:pPr>
              <w:widowControl/>
              <w:jc w:val="center"/>
              <w:rPr>
                <w:rFonts w:ascii="Calibri" w:hAnsi="Calibri" w:eastAsia="宋体" w:cs="宋体"/>
                <w:color w:val="000000"/>
                <w:kern w:val="0"/>
                <w:sz w:val="24"/>
                <w:szCs w:val="24"/>
                <w:lang w:val="en-US" w:eastAsia="zh-CN" w:bidi="ar-SA"/>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20</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浑浊度</w:t>
            </w:r>
            <w:r>
              <w:rPr>
                <w:rFonts w:hint="eastAsia" w:ascii="宋体" w:hAnsi="宋体" w:cs="宋体"/>
                <w:color w:val="000000"/>
                <w:kern w:val="0"/>
                <w:sz w:val="18"/>
                <w:szCs w:val="18"/>
              </w:rPr>
              <w:t>（</w:t>
            </w:r>
            <w:r>
              <w:rPr>
                <w:rFonts w:cs="宋体"/>
                <w:color w:val="000000"/>
                <w:kern w:val="0"/>
                <w:sz w:val="18"/>
                <w:szCs w:val="18"/>
              </w:rPr>
              <w:t>NTU-</w:t>
            </w:r>
            <w:r>
              <w:rPr>
                <w:rFonts w:hint="eastAsia" w:ascii="宋体" w:hAnsi="宋体" w:cs="宋体"/>
                <w:color w:val="000000"/>
                <w:kern w:val="0"/>
                <w:sz w:val="18"/>
                <w:szCs w:val="18"/>
              </w:rPr>
              <w:t>散射浊度单位）</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21</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lang w:eastAsia="zh-CN"/>
              </w:rPr>
              <w:t>嗅</w:t>
            </w:r>
            <w:r>
              <w:rPr>
                <w:rFonts w:hint="eastAsia" w:ascii="宋体" w:hAnsi="宋体" w:cs="宋体"/>
                <w:color w:val="000000"/>
                <w:kern w:val="0"/>
                <w:sz w:val="24"/>
                <w:szCs w:val="24"/>
              </w:rPr>
              <w:t>和味</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Cs w:val="21"/>
              </w:rPr>
              <w:t>无异臭、异味</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22</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肉眼可见物</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无</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23</w:t>
            </w:r>
          </w:p>
        </w:tc>
        <w:tc>
          <w:tcPr>
            <w:tcW w:w="1324" w:type="pct"/>
            <w:vAlign w:val="center"/>
          </w:tcPr>
          <w:p>
            <w:pPr>
              <w:widowControl/>
              <w:jc w:val="center"/>
              <w:rPr>
                <w:rFonts w:ascii="宋体" w:cs="宋体"/>
                <w:color w:val="000000"/>
                <w:kern w:val="0"/>
                <w:sz w:val="24"/>
                <w:szCs w:val="24"/>
              </w:rPr>
            </w:pPr>
            <w:r>
              <w:rPr>
                <w:rFonts w:cs="宋体"/>
                <w:color w:val="000000"/>
                <w:kern w:val="0"/>
                <w:sz w:val="24"/>
                <w:szCs w:val="24"/>
              </w:rPr>
              <w:t>pH</w:t>
            </w:r>
          </w:p>
        </w:tc>
        <w:tc>
          <w:tcPr>
            <w:tcW w:w="754" w:type="pct"/>
            <w:vAlign w:val="center"/>
          </w:tcPr>
          <w:p>
            <w:pPr>
              <w:widowControl/>
              <w:jc w:val="center"/>
              <w:rPr>
                <w:rFonts w:ascii="宋体" w:cs="宋体"/>
                <w:color w:val="000000"/>
                <w:kern w:val="0"/>
                <w:szCs w:val="21"/>
              </w:rPr>
            </w:pPr>
            <w:r>
              <w:rPr>
                <w:rFonts w:hint="eastAsia" w:ascii="宋体" w:hAnsi="宋体" w:cs="宋体"/>
                <w:color w:val="000000"/>
                <w:kern w:val="0"/>
                <w:szCs w:val="21"/>
              </w:rPr>
              <w:t>不小于</w:t>
            </w:r>
            <w:r>
              <w:rPr>
                <w:rFonts w:cs="宋体"/>
                <w:color w:val="000000"/>
                <w:kern w:val="0"/>
                <w:szCs w:val="21"/>
              </w:rPr>
              <w:t>6.5</w:t>
            </w:r>
            <w:r>
              <w:rPr>
                <w:rFonts w:hint="eastAsia" w:ascii="宋体" w:hAnsi="宋体" w:cs="宋体"/>
                <w:color w:val="000000"/>
                <w:kern w:val="0"/>
                <w:szCs w:val="21"/>
              </w:rPr>
              <w:t>且不大于</w:t>
            </w:r>
            <w:r>
              <w:rPr>
                <w:rFonts w:cs="宋体"/>
                <w:color w:val="000000"/>
                <w:kern w:val="0"/>
                <w:szCs w:val="21"/>
              </w:rPr>
              <w:t>8.5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24</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铝</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0.2</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25</w:t>
            </w:r>
          </w:p>
        </w:tc>
        <w:tc>
          <w:tcPr>
            <w:tcW w:w="1324" w:type="pct"/>
            <w:vAlign w:val="center"/>
          </w:tcPr>
          <w:p>
            <w:pPr>
              <w:widowControl/>
              <w:jc w:val="center"/>
              <w:rPr>
                <w:rFonts w:cs="宋体"/>
                <w:color w:val="000000"/>
                <w:kern w:val="0"/>
                <w:sz w:val="24"/>
                <w:szCs w:val="24"/>
              </w:rPr>
            </w:pPr>
            <w:r>
              <w:rPr>
                <w:rFonts w:hint="eastAsia" w:ascii="宋体" w:hAnsi="宋体" w:cs="宋体"/>
                <w:color w:val="000000"/>
                <w:kern w:val="0"/>
                <w:sz w:val="24"/>
                <w:szCs w:val="24"/>
              </w:rPr>
              <w:t>铁</w:t>
            </w:r>
            <w:r>
              <w:rPr>
                <w:rFonts w:cs="宋体"/>
                <w:color w:val="000000"/>
                <w:kern w:val="0"/>
                <w:szCs w:val="21"/>
              </w:rPr>
              <w:t>(mg/L)</w:t>
            </w:r>
          </w:p>
        </w:tc>
        <w:tc>
          <w:tcPr>
            <w:tcW w:w="754" w:type="pct"/>
            <w:vAlign w:val="center"/>
          </w:tcPr>
          <w:p>
            <w:pPr>
              <w:widowControl/>
              <w:jc w:val="center"/>
              <w:rPr>
                <w:rFonts w:ascii="宋体" w:cs="宋体"/>
                <w:color w:val="000000"/>
                <w:kern w:val="0"/>
                <w:szCs w:val="21"/>
              </w:rPr>
            </w:pPr>
            <w:r>
              <w:rPr>
                <w:rFonts w:hint="eastAsia" w:ascii="宋体" w:hAnsi="宋体" w:cs="宋体"/>
                <w:color w:val="000000"/>
                <w:kern w:val="0"/>
                <w:sz w:val="24"/>
                <w:szCs w:val="24"/>
              </w:rPr>
              <w:t>≤</w:t>
            </w:r>
            <w:r>
              <w:rPr>
                <w:rFonts w:cs="宋体"/>
                <w:color w:val="000000"/>
                <w:kern w:val="0"/>
                <w:sz w:val="24"/>
                <w:szCs w:val="24"/>
              </w:rPr>
              <w:t>0.3</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26</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锰</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0.1</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27</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铜</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28</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锌</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1.0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29</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氯化物</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250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30</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硫酸盐</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250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31</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溶解性总固体</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cs="宋体"/>
                <w:color w:val="000000"/>
                <w:kern w:val="0"/>
                <w:sz w:val="24"/>
                <w:szCs w:val="24"/>
              </w:rPr>
              <w:t>1000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32</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总硬度</w:t>
            </w:r>
            <w:r>
              <w:rPr>
                <w:rFonts w:cs="宋体"/>
                <w:color w:val="000000"/>
                <w:kern w:val="0"/>
                <w:sz w:val="18"/>
                <w:szCs w:val="18"/>
              </w:rPr>
              <w:t>(</w:t>
            </w:r>
            <w:r>
              <w:rPr>
                <w:rFonts w:hint="eastAsia" w:ascii="宋体" w:hAnsi="宋体" w:cs="宋体"/>
                <w:color w:val="000000"/>
                <w:kern w:val="0"/>
                <w:sz w:val="18"/>
                <w:szCs w:val="18"/>
              </w:rPr>
              <w:t>以</w:t>
            </w:r>
            <w:r>
              <w:rPr>
                <w:rFonts w:cs="宋体"/>
                <w:color w:val="000000"/>
                <w:kern w:val="0"/>
                <w:sz w:val="18"/>
                <w:szCs w:val="18"/>
              </w:rPr>
              <w:t>CaCO3</w:t>
            </w:r>
            <w:r>
              <w:rPr>
                <w:rFonts w:hint="eastAsia" w:ascii="宋体" w:hAnsi="宋体" w:cs="宋体"/>
                <w:color w:val="000000"/>
                <w:kern w:val="0"/>
                <w:sz w:val="18"/>
                <w:szCs w:val="18"/>
              </w:rPr>
              <w:t>计，</w:t>
            </w:r>
            <w:r>
              <w:rPr>
                <w:rFonts w:cs="宋体"/>
                <w:color w:val="000000"/>
                <w:kern w:val="0"/>
                <w:sz w:val="18"/>
                <w:szCs w:val="18"/>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450</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33</w:t>
            </w:r>
          </w:p>
        </w:tc>
        <w:tc>
          <w:tcPr>
            <w:tcW w:w="1324" w:type="pct"/>
            <w:vAlign w:val="center"/>
          </w:tcPr>
          <w:p>
            <w:pPr>
              <w:widowControl/>
              <w:jc w:val="center"/>
              <w:rPr>
                <w:rFonts w:ascii="宋体" w:cs="宋体"/>
                <w:color w:val="000000"/>
                <w:kern w:val="0"/>
                <w:sz w:val="24"/>
                <w:szCs w:val="24"/>
              </w:rPr>
            </w:pPr>
            <w:r>
              <w:rPr>
                <w:rFonts w:hint="eastAsia" w:ascii="宋体" w:cs="宋体"/>
                <w:color w:val="000000"/>
                <w:kern w:val="0"/>
                <w:sz w:val="24"/>
                <w:szCs w:val="24"/>
              </w:rPr>
              <w:t xml:space="preserve"> 高锰酸盐指数（CODMn法，以O2计，mg/L）</w:t>
            </w:r>
          </w:p>
        </w:tc>
        <w:tc>
          <w:tcPr>
            <w:tcW w:w="754" w:type="pct"/>
            <w:vAlign w:val="center"/>
          </w:tcPr>
          <w:p>
            <w:pPr>
              <w:widowControl/>
              <w:jc w:val="center"/>
              <w:rPr>
                <w:rFonts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3</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atLeast"/>
        </w:trPr>
        <w:tc>
          <w:tcPr>
            <w:tcW w:w="701" w:type="pct"/>
            <w:vAlign w:val="center"/>
          </w:tcPr>
          <w:p>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34</w:t>
            </w:r>
          </w:p>
        </w:tc>
        <w:tc>
          <w:tcPr>
            <w:tcW w:w="1324" w:type="pct"/>
            <w:vAlign w:val="center"/>
          </w:tcPr>
          <w:p>
            <w:pPr>
              <w:widowControl/>
              <w:jc w:val="center"/>
              <w:rPr>
                <w:rFonts w:hint="eastAsia" w:ascii="宋体" w:cs="宋体"/>
                <w:color w:val="000000"/>
                <w:kern w:val="0"/>
                <w:sz w:val="24"/>
                <w:szCs w:val="24"/>
              </w:rPr>
            </w:pPr>
            <w:r>
              <w:rPr>
                <w:rFonts w:hint="eastAsia" w:ascii="宋体" w:cs="宋体"/>
                <w:color w:val="000000"/>
                <w:kern w:val="0"/>
                <w:sz w:val="24"/>
                <w:szCs w:val="24"/>
              </w:rPr>
              <w:t>氯消毒为游离氯（mg/L）</w:t>
            </w:r>
          </w:p>
        </w:tc>
        <w:tc>
          <w:tcPr>
            <w:tcW w:w="754" w:type="pct"/>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themeColor="text1"/>
                <w:kern w:val="0"/>
                <w:sz w:val="24"/>
                <w:szCs w:val="24"/>
                <w14:textFill>
                  <w14:solidFill>
                    <w14:schemeClr w14:val="tx1"/>
                  </w14:solidFill>
                </w14:textFill>
              </w:rPr>
              <w:t>≤</w:t>
            </w:r>
            <w:r>
              <w:rPr>
                <w:rFonts w:hint="eastAsia" w:cs="宋体"/>
                <w:color w:val="000000" w:themeColor="text1"/>
                <w:kern w:val="0"/>
                <w:sz w:val="24"/>
                <w:szCs w:val="24"/>
                <w:lang w:val="en-US" w:eastAsia="zh-CN"/>
                <w14:textFill>
                  <w14:solidFill>
                    <w14:schemeClr w14:val="tx1"/>
                  </w14:solidFill>
                </w14:textFill>
              </w:rPr>
              <w:t>2</w:t>
            </w:r>
          </w:p>
        </w:tc>
        <w:tc>
          <w:tcPr>
            <w:tcW w:w="702" w:type="pct"/>
            <w:shd w:val="clear" w:color="auto" w:fill="auto"/>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eastAsia="zh-CN"/>
              </w:rPr>
              <w:t>合格</w:t>
            </w:r>
          </w:p>
        </w:tc>
        <w:tc>
          <w:tcPr>
            <w:tcW w:w="814" w:type="pct"/>
            <w:shd w:val="clear" w:color="auto" w:fill="auto"/>
            <w:vAlign w:val="center"/>
          </w:tcPr>
          <w:p>
            <w:pPr>
              <w:widowControl/>
              <w:jc w:val="center"/>
              <w:rPr>
                <w:rFonts w:hint="default" w:ascii="Calibri" w:hAnsi="Calibri" w:eastAsia="宋体" w:cs="宋体"/>
                <w:color w:val="000000"/>
                <w:kern w:val="0"/>
                <w:sz w:val="24"/>
                <w:szCs w:val="24"/>
                <w:lang w:val="en-US" w:eastAsia="zh-CN" w:bidi="ar-SA"/>
              </w:rPr>
            </w:pPr>
            <w:r>
              <w:rPr>
                <w:rFonts w:hint="eastAsia" w:cs="宋体"/>
                <w:color w:val="000000"/>
                <w:kern w:val="0"/>
                <w:sz w:val="24"/>
                <w:szCs w:val="24"/>
                <w:lang w:val="en-US" w:eastAsia="zh-CN"/>
              </w:rPr>
              <w:t>100</w:t>
            </w:r>
          </w:p>
        </w:tc>
        <w:tc>
          <w:tcPr>
            <w:tcW w:w="702" w:type="pct"/>
            <w:vAlign w:val="center"/>
          </w:tcPr>
          <w:p>
            <w:pPr>
              <w:widowControl/>
              <w:jc w:val="center"/>
              <w:rPr>
                <w:rFonts w:cs="宋体"/>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trPr>
        <w:tc>
          <w:tcPr>
            <w:tcW w:w="701" w:type="pct"/>
            <w:vAlign w:val="center"/>
          </w:tcPr>
          <w:p>
            <w:pPr>
              <w:widowControl/>
              <w:jc w:val="center"/>
              <w:rPr>
                <w:rFonts w:hint="default" w:eastAsia="宋体" w:cs="宋体"/>
                <w:color w:val="000000"/>
                <w:kern w:val="0"/>
                <w:sz w:val="24"/>
                <w:szCs w:val="24"/>
                <w:lang w:val="en-US" w:eastAsia="zh-CN"/>
              </w:rPr>
            </w:pPr>
            <w:r>
              <w:rPr>
                <w:rFonts w:hint="eastAsia" w:cs="宋体"/>
                <w:color w:val="000000"/>
                <w:kern w:val="0"/>
                <w:sz w:val="24"/>
                <w:szCs w:val="24"/>
                <w:lang w:val="en-US" w:eastAsia="zh-CN"/>
              </w:rPr>
              <w:t>35</w:t>
            </w:r>
          </w:p>
        </w:tc>
        <w:tc>
          <w:tcPr>
            <w:tcW w:w="132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氨</w:t>
            </w:r>
            <w:r>
              <w:rPr>
                <w:rFonts w:cs="宋体"/>
                <w:color w:val="000000"/>
                <w:kern w:val="0"/>
                <w:szCs w:val="21"/>
              </w:rPr>
              <w:t>(</w:t>
            </w:r>
            <w:r>
              <w:rPr>
                <w:rFonts w:hint="eastAsia" w:cs="宋体"/>
                <w:color w:val="000000"/>
                <w:kern w:val="0"/>
                <w:szCs w:val="21"/>
                <w:lang w:val="en-US" w:eastAsia="zh-CN"/>
              </w:rPr>
              <w:t>以N计，</w:t>
            </w:r>
            <w:r>
              <w:rPr>
                <w:rFonts w:cs="宋体"/>
                <w:color w:val="000000"/>
                <w:kern w:val="0"/>
                <w:szCs w:val="21"/>
              </w:rPr>
              <w:t>mg/L)</w:t>
            </w:r>
          </w:p>
        </w:tc>
        <w:tc>
          <w:tcPr>
            <w:tcW w:w="754"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w:t>
            </w:r>
            <w:r>
              <w:rPr>
                <w:rFonts w:cs="宋体"/>
                <w:color w:val="000000"/>
                <w:kern w:val="0"/>
                <w:sz w:val="24"/>
                <w:szCs w:val="24"/>
              </w:rPr>
              <w:t>0.5</w:t>
            </w:r>
          </w:p>
        </w:tc>
        <w:tc>
          <w:tcPr>
            <w:tcW w:w="702" w:type="pct"/>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合格</w:t>
            </w:r>
          </w:p>
        </w:tc>
        <w:tc>
          <w:tcPr>
            <w:tcW w:w="814" w:type="pct"/>
            <w:vAlign w:val="center"/>
          </w:tcPr>
          <w:p>
            <w:pPr>
              <w:widowControl/>
              <w:jc w:val="center"/>
              <w:rPr>
                <w:rFonts w:cs="宋体"/>
                <w:color w:val="000000"/>
                <w:kern w:val="0"/>
                <w:sz w:val="24"/>
                <w:szCs w:val="24"/>
              </w:rPr>
            </w:pPr>
            <w:r>
              <w:rPr>
                <w:rFonts w:cs="宋体"/>
                <w:color w:val="000000"/>
                <w:kern w:val="0"/>
                <w:sz w:val="24"/>
                <w:szCs w:val="24"/>
              </w:rPr>
              <w:t>100</w:t>
            </w:r>
          </w:p>
        </w:tc>
        <w:tc>
          <w:tcPr>
            <w:tcW w:w="702" w:type="pct"/>
            <w:vAlign w:val="center"/>
          </w:tcPr>
          <w:p>
            <w:pPr>
              <w:widowControl/>
              <w:jc w:val="center"/>
              <w:rPr>
                <w:rFonts w:cs="宋体"/>
                <w:color w:val="000000"/>
                <w:kern w:val="0"/>
                <w:sz w:val="24"/>
                <w:szCs w:val="24"/>
              </w:rPr>
            </w:pPr>
          </w:p>
        </w:tc>
      </w:tr>
    </w:tbl>
    <w:p>
      <w:pPr>
        <w:spacing w:line="440" w:lineRule="exact"/>
        <w:rPr>
          <w:rFonts w:ascii="华文楷体" w:hAnsi="华文楷体" w:eastAsia="华文楷体"/>
          <w:color w:val="000000"/>
          <w:sz w:val="24"/>
          <w:szCs w:val="24"/>
        </w:rPr>
      </w:pPr>
      <w:r>
        <w:rPr>
          <w:rFonts w:hint="eastAsia" w:ascii="华文楷体" w:hAnsi="华文楷体" w:eastAsia="华文楷体"/>
          <w:color w:val="000000"/>
          <w:sz w:val="24"/>
          <w:szCs w:val="24"/>
        </w:rPr>
        <w:t>说明：⑴水质指标结果评价按照《生活饮用水卫生标准》（</w:t>
      </w:r>
      <w:r>
        <w:rPr>
          <w:rFonts w:ascii="华文楷体" w:hAnsi="华文楷体" w:eastAsia="华文楷体"/>
          <w:color w:val="000000"/>
          <w:sz w:val="24"/>
          <w:szCs w:val="24"/>
        </w:rPr>
        <w:t>GB5749-20</w:t>
      </w:r>
      <w:r>
        <w:rPr>
          <w:rFonts w:hint="eastAsia" w:ascii="华文楷体" w:hAnsi="华文楷体" w:eastAsia="华文楷体"/>
          <w:color w:val="000000"/>
          <w:sz w:val="24"/>
          <w:szCs w:val="24"/>
          <w:lang w:val="en-US" w:eastAsia="zh-CN"/>
        </w:rPr>
        <w:t>22</w:t>
      </w:r>
      <w:r>
        <w:rPr>
          <w:rFonts w:hint="eastAsia" w:ascii="华文楷体" w:hAnsi="华文楷体" w:eastAsia="华文楷体"/>
          <w:color w:val="000000"/>
          <w:sz w:val="24"/>
          <w:szCs w:val="24"/>
        </w:rPr>
        <w:t>）执行。</w:t>
      </w:r>
    </w:p>
    <w:p>
      <w:pPr>
        <w:spacing w:line="440" w:lineRule="exact"/>
        <w:ind w:firstLine="720" w:firstLineChars="300"/>
        <w:rPr>
          <w:rFonts w:ascii="华文楷体" w:hAnsi="华文楷体" w:eastAsia="华文楷体"/>
          <w:color w:val="000000"/>
          <w:sz w:val="24"/>
          <w:szCs w:val="24"/>
        </w:rPr>
      </w:pPr>
      <w:r>
        <w:rPr>
          <w:rFonts w:hint="eastAsia" w:ascii="华文楷体" w:hAnsi="华文楷体" w:eastAsia="华文楷体"/>
          <w:color w:val="000000"/>
          <w:sz w:val="24"/>
          <w:szCs w:val="24"/>
        </w:rPr>
        <w:t>⑵监测指标合格率（℅）</w:t>
      </w:r>
      <w:r>
        <w:rPr>
          <w:rFonts w:ascii="华文楷体" w:hAnsi="华文楷体" w:eastAsia="华文楷体"/>
          <w:color w:val="000000"/>
          <w:sz w:val="24"/>
          <w:szCs w:val="24"/>
        </w:rPr>
        <w:t>=</w:t>
      </w:r>
      <w:r>
        <w:rPr>
          <w:rFonts w:hint="eastAsia" w:ascii="华文楷体" w:hAnsi="华文楷体" w:eastAsia="华文楷体"/>
          <w:color w:val="000000"/>
          <w:sz w:val="24"/>
          <w:szCs w:val="24"/>
        </w:rPr>
        <w:t>单项指标检验合格样品数÷该指标检验样品总数×</w:t>
      </w:r>
      <w:r>
        <w:rPr>
          <w:rFonts w:ascii="华文楷体" w:hAnsi="华文楷体" w:eastAsia="华文楷体"/>
          <w:color w:val="000000"/>
          <w:sz w:val="24"/>
          <w:szCs w:val="24"/>
        </w:rPr>
        <w:t>100</w:t>
      </w:r>
      <w:r>
        <w:rPr>
          <w:rFonts w:hint="eastAsia" w:ascii="华文楷体" w:hAnsi="华文楷体" w:eastAsia="华文楷体"/>
          <w:color w:val="000000"/>
          <w:sz w:val="24"/>
          <w:szCs w:val="24"/>
        </w:rPr>
        <w:t>℅。</w:t>
      </w:r>
    </w:p>
    <w:p>
      <w:pPr>
        <w:ind w:firstLine="720" w:firstLineChars="300"/>
        <w:rPr>
          <w:color w:val="auto"/>
          <w:sz w:val="28"/>
          <w:szCs w:val="28"/>
        </w:rPr>
      </w:pPr>
      <w:r>
        <w:rPr>
          <w:rFonts w:ascii="华文楷体" w:hAnsi="华文楷体" w:eastAsia="华文楷体"/>
          <w:color w:val="auto"/>
          <w:sz w:val="24"/>
          <w:szCs w:val="24"/>
        </w:rPr>
        <w:fldChar w:fldCharType="begin"/>
      </w:r>
      <w:r>
        <w:rPr>
          <w:rFonts w:ascii="华文楷体" w:hAnsi="华文楷体" w:eastAsia="华文楷体"/>
          <w:color w:val="auto"/>
          <w:sz w:val="24"/>
          <w:szCs w:val="24"/>
        </w:rPr>
        <w:instrText xml:space="preserve">= 3 \* GB2</w:instrText>
      </w:r>
      <w:r>
        <w:rPr>
          <w:rFonts w:ascii="华文楷体" w:hAnsi="华文楷体" w:eastAsia="华文楷体"/>
          <w:color w:val="auto"/>
          <w:sz w:val="24"/>
          <w:szCs w:val="24"/>
        </w:rPr>
        <w:fldChar w:fldCharType="separate"/>
      </w:r>
      <w:r>
        <w:rPr>
          <w:rFonts w:hint="eastAsia" w:ascii="华文楷体" w:hAnsi="华文楷体" w:eastAsia="华文楷体"/>
          <w:color w:val="auto"/>
          <w:sz w:val="24"/>
          <w:szCs w:val="24"/>
        </w:rPr>
        <w:t>⑶</w:t>
      </w:r>
      <w:r>
        <w:rPr>
          <w:rFonts w:ascii="华文楷体" w:hAnsi="华文楷体" w:eastAsia="华文楷体"/>
          <w:color w:val="auto"/>
          <w:sz w:val="24"/>
          <w:szCs w:val="24"/>
        </w:rPr>
        <w:fldChar w:fldCharType="end"/>
      </w:r>
      <w:r>
        <w:rPr>
          <w:rFonts w:hint="eastAsia" w:ascii="华文楷体" w:hAnsi="华文楷体" w:eastAsia="华文楷体"/>
          <w:color w:val="auto"/>
          <w:sz w:val="24"/>
          <w:szCs w:val="24"/>
        </w:rPr>
        <w:t>采样时间：</w:t>
      </w:r>
      <w:r>
        <w:rPr>
          <w:rFonts w:hint="eastAsia" w:ascii="华文楷体" w:hAnsi="华文楷体" w:eastAsia="华文楷体"/>
          <w:color w:val="auto"/>
          <w:sz w:val="24"/>
          <w:szCs w:val="24"/>
          <w:lang w:eastAsia="zh-CN"/>
        </w:rPr>
        <w:t>202</w:t>
      </w:r>
      <w:r>
        <w:rPr>
          <w:rFonts w:hint="eastAsia" w:ascii="华文楷体" w:hAnsi="华文楷体" w:eastAsia="华文楷体"/>
          <w:color w:val="auto"/>
          <w:sz w:val="24"/>
          <w:szCs w:val="24"/>
          <w:lang w:val="en-US" w:eastAsia="zh-CN"/>
        </w:rPr>
        <w:t>5</w:t>
      </w:r>
      <w:r>
        <w:rPr>
          <w:rFonts w:hint="eastAsia" w:ascii="华文楷体" w:hAnsi="华文楷体" w:eastAsia="华文楷体"/>
          <w:color w:val="auto"/>
          <w:sz w:val="24"/>
          <w:szCs w:val="24"/>
          <w:lang w:eastAsia="zh-CN"/>
        </w:rPr>
        <w:t>年</w:t>
      </w:r>
      <w:r>
        <w:rPr>
          <w:rFonts w:hint="eastAsia" w:ascii="华文楷体" w:hAnsi="华文楷体" w:eastAsia="华文楷体"/>
          <w:color w:val="auto"/>
          <w:sz w:val="24"/>
          <w:szCs w:val="24"/>
          <w:lang w:val="en-US" w:eastAsia="zh-CN"/>
        </w:rPr>
        <w:t>8月18日、2025年8月19日</w:t>
      </w:r>
      <w:r>
        <w:rPr>
          <w:rFonts w:hint="eastAsia" w:ascii="华文楷体" w:hAnsi="华文楷体" w:eastAsia="华文楷体"/>
          <w:color w:val="auto"/>
          <w:sz w:val="24"/>
          <w:szCs w:val="24"/>
        </w:rPr>
        <w:t>。</w:t>
      </w:r>
    </w:p>
    <w:p>
      <w:pPr>
        <w:spacing w:line="440" w:lineRule="exact"/>
        <w:ind w:firstLine="560" w:firstLineChars="200"/>
        <w:rPr>
          <w:color w:val="000000"/>
          <w:sz w:val="28"/>
          <w:szCs w:val="28"/>
        </w:rPr>
        <w:sectPr>
          <w:pgSz w:w="11906" w:h="16838"/>
          <w:pgMar w:top="1134" w:right="1134" w:bottom="1134" w:left="1134" w:header="851" w:footer="992" w:gutter="0"/>
          <w:cols w:space="425" w:num="1"/>
          <w:docGrid w:type="lines" w:linePitch="312" w:charSpace="0"/>
        </w:sectPr>
      </w:pPr>
    </w:p>
    <w:p>
      <w:pPr>
        <w:ind w:firstLine="180" w:firstLineChars="50"/>
        <w:jc w:val="center"/>
        <w:rPr>
          <w:rFonts w:ascii="方正小标宋简体" w:eastAsia="方正小标宋简体"/>
          <w:color w:val="000000"/>
          <w:sz w:val="36"/>
          <w:szCs w:val="36"/>
        </w:rPr>
      </w:pPr>
      <w:r>
        <w:rPr>
          <w:rFonts w:hint="eastAsia" w:ascii="方正小标宋简体" w:eastAsia="方正小标宋简体"/>
          <w:color w:val="000000"/>
          <w:sz w:val="36"/>
          <w:szCs w:val="36"/>
        </w:rPr>
        <w:t>用户水龙头（管网末梢水）水质监测合格率</w:t>
      </w:r>
    </w:p>
    <w:p>
      <w:pPr>
        <w:jc w:val="center"/>
        <w:rPr>
          <w:color w:val="000000"/>
          <w:sz w:val="32"/>
          <w:szCs w:val="32"/>
        </w:rPr>
      </w:pPr>
      <w:r>
        <w:rPr>
          <w:rFonts w:hint="eastAsia"/>
          <w:color w:val="000000"/>
          <w:sz w:val="32"/>
          <w:szCs w:val="32"/>
        </w:rPr>
        <w:t>（</w:t>
      </w:r>
      <w:r>
        <w:rPr>
          <w:rFonts w:hint="eastAsia"/>
          <w:color w:val="000000"/>
          <w:sz w:val="32"/>
          <w:szCs w:val="32"/>
          <w:lang w:eastAsia="zh-CN"/>
        </w:rPr>
        <w:t>202</w:t>
      </w:r>
      <w:r>
        <w:rPr>
          <w:rFonts w:hint="eastAsia"/>
          <w:color w:val="000000"/>
          <w:sz w:val="32"/>
          <w:szCs w:val="32"/>
          <w:lang w:val="en-US" w:eastAsia="zh-CN"/>
        </w:rPr>
        <w:t>5</w:t>
      </w:r>
      <w:r>
        <w:rPr>
          <w:rFonts w:hint="eastAsia"/>
          <w:color w:val="000000"/>
          <w:sz w:val="32"/>
          <w:szCs w:val="32"/>
        </w:rPr>
        <w:t>年</w:t>
      </w:r>
      <w:r>
        <w:rPr>
          <w:rFonts w:hint="eastAsia"/>
          <w:color w:val="000000"/>
          <w:sz w:val="32"/>
          <w:szCs w:val="32"/>
          <w:lang w:eastAsia="zh-CN"/>
        </w:rPr>
        <w:t>第</w:t>
      </w:r>
      <w:r>
        <w:rPr>
          <w:rFonts w:hint="eastAsia"/>
          <w:color w:val="000000"/>
          <w:sz w:val="32"/>
          <w:szCs w:val="32"/>
          <w:lang w:val="en-US" w:eastAsia="zh-CN"/>
        </w:rPr>
        <w:t>三</w:t>
      </w:r>
      <w:r>
        <w:rPr>
          <w:rFonts w:hint="eastAsia"/>
          <w:color w:val="000000"/>
          <w:sz w:val="32"/>
          <w:szCs w:val="32"/>
          <w:lang w:eastAsia="zh-CN"/>
        </w:rPr>
        <w:t>季度</w:t>
      </w:r>
      <w:r>
        <w:rPr>
          <w:rFonts w:hint="eastAsia"/>
          <w:color w:val="000000"/>
          <w:sz w:val="32"/>
          <w:szCs w:val="32"/>
        </w:rPr>
        <w:t>）</w:t>
      </w:r>
    </w:p>
    <w:p>
      <w:pPr>
        <w:rPr>
          <w:rFonts w:hint="eastAsia" w:ascii="宋体" w:eastAsia="宋体"/>
          <w:color w:val="000000"/>
          <w:sz w:val="28"/>
          <w:szCs w:val="28"/>
          <w:lang w:eastAsia="zh-CN"/>
        </w:rPr>
      </w:pPr>
      <w:r>
        <w:rPr>
          <w:rFonts w:hint="eastAsia" w:ascii="宋体" w:hAnsi="宋体"/>
          <w:color w:val="000000"/>
          <w:sz w:val="28"/>
          <w:szCs w:val="28"/>
        </w:rPr>
        <w:t>信息发布单位：慈溪市</w:t>
      </w:r>
      <w:r>
        <w:rPr>
          <w:rFonts w:hint="eastAsia" w:ascii="宋体" w:hAnsi="宋体"/>
          <w:color w:val="000000"/>
          <w:sz w:val="28"/>
          <w:szCs w:val="28"/>
          <w:lang w:val="en-US" w:eastAsia="zh-CN"/>
        </w:rPr>
        <w:t>卫生健康局</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575"/>
        <w:gridCol w:w="2521"/>
        <w:gridCol w:w="3359"/>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4"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名称</w:t>
            </w:r>
          </w:p>
        </w:tc>
        <w:tc>
          <w:tcPr>
            <w:tcW w:w="799"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监测点数</w:t>
            </w:r>
          </w:p>
        </w:tc>
        <w:tc>
          <w:tcPr>
            <w:tcW w:w="1279"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监测指标数（项次）</w:t>
            </w:r>
          </w:p>
        </w:tc>
        <w:tc>
          <w:tcPr>
            <w:tcW w:w="1704"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监测指标综合合格率</w:t>
            </w:r>
            <w:r>
              <w:rPr>
                <w:rFonts w:hint="eastAsia" w:ascii="华文楷体" w:hAnsi="华文楷体" w:eastAsia="华文楷体"/>
                <w:color w:val="000000"/>
                <w:sz w:val="24"/>
                <w:szCs w:val="24"/>
              </w:rPr>
              <w:t>（℅）</w:t>
            </w:r>
          </w:p>
        </w:tc>
        <w:tc>
          <w:tcPr>
            <w:tcW w:w="363" w:type="pct"/>
            <w:vAlign w:val="center"/>
          </w:tcPr>
          <w:p>
            <w:pPr>
              <w:jc w:val="center"/>
              <w:rPr>
                <w:rFonts w:ascii="华文楷体" w:hAnsi="华文楷体" w:eastAsia="华文楷体"/>
                <w:color w:val="000000"/>
                <w:sz w:val="28"/>
                <w:szCs w:val="28"/>
              </w:rPr>
            </w:pPr>
            <w:r>
              <w:rPr>
                <w:rFonts w:hint="eastAsia" w:ascii="华文楷体" w:hAnsi="华文楷体" w:eastAsia="华文楷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4" w:type="pct"/>
            <w:vAlign w:val="center"/>
          </w:tcPr>
          <w:p>
            <w:pPr>
              <w:jc w:val="center"/>
              <w:rPr>
                <w:color w:val="000000"/>
                <w:sz w:val="28"/>
                <w:szCs w:val="28"/>
              </w:rPr>
            </w:pPr>
            <w:r>
              <w:rPr>
                <w:rFonts w:hint="eastAsia"/>
                <w:color w:val="000000"/>
                <w:sz w:val="28"/>
                <w:szCs w:val="28"/>
              </w:rPr>
              <w:t>慈溪</w:t>
            </w:r>
          </w:p>
        </w:tc>
        <w:tc>
          <w:tcPr>
            <w:tcW w:w="799" w:type="pct"/>
            <w:vAlign w:val="center"/>
          </w:tcPr>
          <w:p>
            <w:pPr>
              <w:jc w:val="center"/>
              <w:rPr>
                <w:rFonts w:hint="eastAsia" w:eastAsia="宋体"/>
                <w:color w:val="000000"/>
                <w:sz w:val="28"/>
                <w:szCs w:val="28"/>
                <w:lang w:eastAsia="zh-CN"/>
              </w:rPr>
            </w:pPr>
            <w:r>
              <w:rPr>
                <w:rFonts w:hint="eastAsia"/>
                <w:color w:val="000000"/>
                <w:sz w:val="28"/>
                <w:szCs w:val="28"/>
                <w:lang w:val="en-US" w:eastAsia="zh-CN"/>
              </w:rPr>
              <w:t>5</w:t>
            </w:r>
          </w:p>
        </w:tc>
        <w:tc>
          <w:tcPr>
            <w:tcW w:w="1279" w:type="pct"/>
            <w:vAlign w:val="center"/>
          </w:tcPr>
          <w:p>
            <w:pPr>
              <w:jc w:val="center"/>
              <w:rPr>
                <w:rFonts w:hint="default" w:eastAsia="宋体"/>
                <w:color w:val="000000"/>
                <w:sz w:val="28"/>
                <w:szCs w:val="28"/>
                <w:lang w:val="en-US" w:eastAsia="zh-CN"/>
              </w:rPr>
            </w:pPr>
            <w:r>
              <w:rPr>
                <w:rFonts w:hint="eastAsia"/>
                <w:color w:val="000000" w:themeColor="text1"/>
                <w:sz w:val="28"/>
                <w:szCs w:val="28"/>
                <w:lang w:val="en-US" w:eastAsia="zh-CN"/>
                <w14:textFill>
                  <w14:solidFill>
                    <w14:schemeClr w14:val="tx1"/>
                  </w14:solidFill>
                </w14:textFill>
              </w:rPr>
              <w:t>175</w:t>
            </w:r>
          </w:p>
        </w:tc>
        <w:tc>
          <w:tcPr>
            <w:tcW w:w="1704" w:type="pct"/>
            <w:vAlign w:val="center"/>
          </w:tcPr>
          <w:p>
            <w:pPr>
              <w:jc w:val="center"/>
              <w:rPr>
                <w:color w:val="000000"/>
                <w:sz w:val="28"/>
                <w:szCs w:val="28"/>
              </w:rPr>
            </w:pPr>
            <w:r>
              <w:rPr>
                <w:color w:val="000000"/>
                <w:sz w:val="28"/>
                <w:szCs w:val="28"/>
              </w:rPr>
              <w:t>100</w:t>
            </w:r>
          </w:p>
        </w:tc>
        <w:tc>
          <w:tcPr>
            <w:tcW w:w="363" w:type="pct"/>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vAlign w:val="center"/>
          </w:tcPr>
          <w:p>
            <w:pPr>
              <w:jc w:val="center"/>
              <w:rPr>
                <w:color w:val="000000"/>
                <w:szCs w:val="21"/>
              </w:rPr>
            </w:pPr>
            <w:r>
              <w:rPr>
                <w:rFonts w:hint="eastAsia" w:ascii="宋体" w:hAnsi="宋体"/>
                <w:color w:val="000000"/>
                <w:szCs w:val="21"/>
              </w:rPr>
              <w:t>（以下空白）</w:t>
            </w:r>
          </w:p>
        </w:tc>
        <w:tc>
          <w:tcPr>
            <w:tcW w:w="799" w:type="pct"/>
            <w:vAlign w:val="center"/>
          </w:tcPr>
          <w:p>
            <w:pPr>
              <w:jc w:val="center"/>
              <w:rPr>
                <w:color w:val="000000"/>
                <w:sz w:val="28"/>
                <w:szCs w:val="28"/>
              </w:rPr>
            </w:pPr>
          </w:p>
        </w:tc>
        <w:tc>
          <w:tcPr>
            <w:tcW w:w="1279" w:type="pct"/>
            <w:vAlign w:val="center"/>
          </w:tcPr>
          <w:p>
            <w:pPr>
              <w:jc w:val="center"/>
              <w:rPr>
                <w:color w:val="000000"/>
                <w:sz w:val="28"/>
                <w:szCs w:val="28"/>
              </w:rPr>
            </w:pPr>
          </w:p>
        </w:tc>
        <w:tc>
          <w:tcPr>
            <w:tcW w:w="1704" w:type="pct"/>
            <w:vAlign w:val="center"/>
          </w:tcPr>
          <w:p>
            <w:pPr>
              <w:jc w:val="center"/>
              <w:rPr>
                <w:color w:val="000000"/>
                <w:sz w:val="28"/>
                <w:szCs w:val="28"/>
              </w:rPr>
            </w:pPr>
          </w:p>
        </w:tc>
        <w:tc>
          <w:tcPr>
            <w:tcW w:w="363" w:type="pct"/>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vAlign w:val="center"/>
          </w:tcPr>
          <w:p>
            <w:pPr>
              <w:jc w:val="center"/>
              <w:rPr>
                <w:color w:val="000000"/>
                <w:sz w:val="28"/>
                <w:szCs w:val="28"/>
              </w:rPr>
            </w:pPr>
          </w:p>
        </w:tc>
        <w:tc>
          <w:tcPr>
            <w:tcW w:w="799" w:type="pct"/>
            <w:vAlign w:val="center"/>
          </w:tcPr>
          <w:p>
            <w:pPr>
              <w:jc w:val="center"/>
              <w:rPr>
                <w:color w:val="000000"/>
                <w:sz w:val="28"/>
                <w:szCs w:val="28"/>
              </w:rPr>
            </w:pPr>
          </w:p>
        </w:tc>
        <w:tc>
          <w:tcPr>
            <w:tcW w:w="1279" w:type="pct"/>
            <w:vAlign w:val="center"/>
          </w:tcPr>
          <w:p>
            <w:pPr>
              <w:jc w:val="center"/>
              <w:rPr>
                <w:color w:val="000000"/>
                <w:sz w:val="28"/>
                <w:szCs w:val="28"/>
              </w:rPr>
            </w:pPr>
          </w:p>
        </w:tc>
        <w:tc>
          <w:tcPr>
            <w:tcW w:w="1704" w:type="pct"/>
            <w:vAlign w:val="center"/>
          </w:tcPr>
          <w:p>
            <w:pPr>
              <w:jc w:val="center"/>
              <w:rPr>
                <w:color w:val="000000"/>
                <w:sz w:val="28"/>
                <w:szCs w:val="28"/>
              </w:rPr>
            </w:pPr>
          </w:p>
        </w:tc>
        <w:tc>
          <w:tcPr>
            <w:tcW w:w="363" w:type="pct"/>
            <w:vAlign w:val="center"/>
          </w:tcPr>
          <w:p>
            <w:pPr>
              <w:jc w:val="center"/>
              <w:rPr>
                <w:color w:val="000000"/>
                <w:sz w:val="28"/>
                <w:szCs w:val="28"/>
              </w:rPr>
            </w:pPr>
          </w:p>
        </w:tc>
      </w:tr>
    </w:tbl>
    <w:p>
      <w:pPr>
        <w:spacing w:line="400" w:lineRule="exact"/>
        <w:rPr>
          <w:rFonts w:ascii="华文楷体" w:hAnsi="华文楷体" w:eastAsia="华文楷体"/>
          <w:color w:val="000000"/>
          <w:sz w:val="24"/>
          <w:szCs w:val="24"/>
        </w:rPr>
      </w:pPr>
      <w:r>
        <w:rPr>
          <w:rFonts w:hint="eastAsia" w:ascii="华文楷体" w:hAnsi="华文楷体" w:eastAsia="华文楷体"/>
          <w:color w:val="000000"/>
          <w:sz w:val="24"/>
          <w:szCs w:val="24"/>
        </w:rPr>
        <w:t>说明：</w:t>
      </w:r>
    </w:p>
    <w:p>
      <w:pPr>
        <w:spacing w:line="400" w:lineRule="exact"/>
        <w:rPr>
          <w:rFonts w:ascii="华文楷体" w:hAnsi="华文楷体" w:eastAsia="华文楷体"/>
          <w:color w:val="000000"/>
          <w:sz w:val="24"/>
          <w:szCs w:val="24"/>
        </w:rPr>
      </w:pPr>
      <w:r>
        <w:rPr>
          <w:rFonts w:ascii="华文楷体" w:hAnsi="华文楷体" w:eastAsia="华文楷体"/>
          <w:color w:val="000000"/>
          <w:sz w:val="24"/>
          <w:szCs w:val="24"/>
        </w:rPr>
        <w:fldChar w:fldCharType="begin"/>
      </w:r>
      <w:r>
        <w:rPr>
          <w:rFonts w:ascii="华文楷体" w:hAnsi="华文楷体" w:eastAsia="华文楷体"/>
          <w:color w:val="000000"/>
          <w:sz w:val="24"/>
          <w:szCs w:val="24"/>
        </w:rPr>
        <w:instrText xml:space="preserve">= 1 \* GB2</w:instrText>
      </w:r>
      <w:r>
        <w:rPr>
          <w:rFonts w:ascii="华文楷体" w:hAnsi="华文楷体" w:eastAsia="华文楷体"/>
          <w:color w:val="000000"/>
          <w:sz w:val="24"/>
          <w:szCs w:val="24"/>
        </w:rPr>
        <w:fldChar w:fldCharType="separate"/>
      </w:r>
      <w:r>
        <w:rPr>
          <w:rFonts w:hint="eastAsia" w:ascii="华文楷体" w:hAnsi="华文楷体" w:eastAsia="华文楷体"/>
          <w:color w:val="000000"/>
          <w:sz w:val="24"/>
          <w:szCs w:val="24"/>
        </w:rPr>
        <w:t>⑴</w:t>
      </w:r>
      <w:r>
        <w:rPr>
          <w:rFonts w:ascii="华文楷体" w:hAnsi="华文楷体" w:eastAsia="华文楷体"/>
          <w:color w:val="000000"/>
          <w:sz w:val="24"/>
          <w:szCs w:val="24"/>
        </w:rPr>
        <w:fldChar w:fldCharType="end"/>
      </w:r>
      <w:r>
        <w:rPr>
          <w:rFonts w:hint="eastAsia" w:ascii="华文楷体" w:hAnsi="华文楷体" w:eastAsia="华文楷体"/>
          <w:color w:val="000000"/>
          <w:sz w:val="24"/>
          <w:szCs w:val="24"/>
        </w:rPr>
        <w:t>水质指标结果评价按照《生活饮用水卫生标准》（</w:t>
      </w:r>
      <w:r>
        <w:rPr>
          <w:rFonts w:ascii="华文楷体" w:hAnsi="华文楷体" w:eastAsia="华文楷体"/>
          <w:color w:val="000000"/>
          <w:sz w:val="24"/>
          <w:szCs w:val="24"/>
        </w:rPr>
        <w:t>GB5749-20</w:t>
      </w:r>
      <w:r>
        <w:rPr>
          <w:rFonts w:hint="eastAsia" w:ascii="华文楷体" w:hAnsi="华文楷体" w:eastAsia="华文楷体"/>
          <w:color w:val="000000"/>
          <w:sz w:val="24"/>
          <w:szCs w:val="24"/>
          <w:lang w:val="en-US" w:eastAsia="zh-CN"/>
        </w:rPr>
        <w:t>22</w:t>
      </w:r>
      <w:r>
        <w:rPr>
          <w:rFonts w:hint="eastAsia" w:ascii="华文楷体" w:hAnsi="华文楷体" w:eastAsia="华文楷体"/>
          <w:color w:val="000000"/>
          <w:sz w:val="24"/>
          <w:szCs w:val="24"/>
        </w:rPr>
        <w:t>）执行。</w:t>
      </w:r>
    </w:p>
    <w:p>
      <w:pPr>
        <w:spacing w:line="400" w:lineRule="exact"/>
        <w:rPr>
          <w:rFonts w:ascii="华文楷体" w:hAnsi="华文楷体" w:eastAsia="华文楷体"/>
          <w:color w:val="000000"/>
          <w:sz w:val="24"/>
          <w:szCs w:val="24"/>
        </w:rPr>
      </w:pPr>
      <w:r>
        <w:rPr>
          <w:rFonts w:ascii="华文楷体" w:hAnsi="华文楷体" w:eastAsia="华文楷体"/>
          <w:color w:val="000000"/>
          <w:sz w:val="24"/>
          <w:szCs w:val="24"/>
        </w:rPr>
        <w:fldChar w:fldCharType="begin"/>
      </w:r>
      <w:r>
        <w:rPr>
          <w:rFonts w:ascii="华文楷体" w:hAnsi="华文楷体" w:eastAsia="华文楷体"/>
          <w:color w:val="000000"/>
          <w:sz w:val="24"/>
          <w:szCs w:val="24"/>
        </w:rPr>
        <w:instrText xml:space="preserve">= 2 \* GB2</w:instrText>
      </w:r>
      <w:r>
        <w:rPr>
          <w:rFonts w:ascii="华文楷体" w:hAnsi="华文楷体" w:eastAsia="华文楷体"/>
          <w:color w:val="000000"/>
          <w:sz w:val="24"/>
          <w:szCs w:val="24"/>
        </w:rPr>
        <w:fldChar w:fldCharType="separate"/>
      </w:r>
      <w:r>
        <w:rPr>
          <w:rFonts w:hint="eastAsia" w:ascii="华文楷体" w:hAnsi="华文楷体" w:eastAsia="华文楷体"/>
          <w:color w:val="000000"/>
          <w:sz w:val="24"/>
          <w:szCs w:val="24"/>
        </w:rPr>
        <w:t>⑵</w:t>
      </w:r>
      <w:r>
        <w:rPr>
          <w:rFonts w:ascii="华文楷体" w:hAnsi="华文楷体" w:eastAsia="华文楷体"/>
          <w:color w:val="000000"/>
          <w:sz w:val="24"/>
          <w:szCs w:val="24"/>
        </w:rPr>
        <w:fldChar w:fldCharType="end"/>
      </w:r>
      <w:r>
        <w:rPr>
          <w:rFonts w:hint="eastAsia" w:ascii="华文楷体" w:hAnsi="华文楷体" w:eastAsia="华文楷体"/>
          <w:color w:val="000000"/>
          <w:sz w:val="24"/>
          <w:szCs w:val="24"/>
        </w:rPr>
        <w:t>监测指标综合合格率（℅）</w:t>
      </w:r>
      <w:r>
        <w:rPr>
          <w:rFonts w:ascii="华文楷体" w:hAnsi="华文楷体" w:eastAsia="华文楷体"/>
          <w:color w:val="000000"/>
          <w:sz w:val="24"/>
          <w:szCs w:val="24"/>
        </w:rPr>
        <w:t>=</w:t>
      </w:r>
      <w:r>
        <w:rPr>
          <w:rFonts w:hint="eastAsia" w:ascii="华文楷体" w:hAnsi="华文楷体" w:eastAsia="华文楷体"/>
          <w:color w:val="000000"/>
          <w:sz w:val="24"/>
          <w:szCs w:val="24"/>
        </w:rPr>
        <w:t>所有样品指标检验合格项次数÷所有样品指标检验总项次数×</w:t>
      </w:r>
      <w:r>
        <w:rPr>
          <w:rFonts w:ascii="华文楷体" w:hAnsi="华文楷体" w:eastAsia="华文楷体"/>
          <w:color w:val="000000"/>
          <w:sz w:val="24"/>
          <w:szCs w:val="24"/>
        </w:rPr>
        <w:t>100</w:t>
      </w:r>
      <w:r>
        <w:rPr>
          <w:rFonts w:hint="eastAsia" w:ascii="华文楷体" w:hAnsi="华文楷体" w:eastAsia="华文楷体"/>
          <w:color w:val="000000"/>
          <w:sz w:val="24"/>
          <w:szCs w:val="24"/>
        </w:rPr>
        <w:t>℅。</w:t>
      </w:r>
    </w:p>
    <w:p>
      <w:pPr>
        <w:spacing w:line="400" w:lineRule="exact"/>
        <w:rPr>
          <w:color w:val="000000"/>
          <w:sz w:val="28"/>
          <w:szCs w:val="28"/>
        </w:rPr>
      </w:pPr>
      <w:r>
        <w:rPr>
          <w:rFonts w:ascii="华文楷体" w:hAnsi="华文楷体" w:eastAsia="华文楷体"/>
          <w:color w:val="000000"/>
          <w:sz w:val="24"/>
          <w:szCs w:val="24"/>
        </w:rPr>
        <w:fldChar w:fldCharType="begin"/>
      </w:r>
      <w:r>
        <w:rPr>
          <w:rFonts w:ascii="华文楷体" w:hAnsi="华文楷体" w:eastAsia="华文楷体"/>
          <w:color w:val="000000"/>
          <w:sz w:val="24"/>
          <w:szCs w:val="24"/>
        </w:rPr>
        <w:instrText xml:space="preserve">= 3 \* GB2</w:instrText>
      </w:r>
      <w:r>
        <w:rPr>
          <w:rFonts w:ascii="华文楷体" w:hAnsi="华文楷体" w:eastAsia="华文楷体"/>
          <w:color w:val="000000"/>
          <w:sz w:val="24"/>
          <w:szCs w:val="24"/>
        </w:rPr>
        <w:fldChar w:fldCharType="separate"/>
      </w:r>
      <w:r>
        <w:rPr>
          <w:rFonts w:hint="eastAsia" w:ascii="华文楷体" w:hAnsi="华文楷体" w:eastAsia="华文楷体"/>
          <w:color w:val="000000"/>
          <w:sz w:val="24"/>
          <w:szCs w:val="24"/>
        </w:rPr>
        <w:t>⑶</w:t>
      </w:r>
      <w:r>
        <w:rPr>
          <w:rFonts w:ascii="华文楷体" w:hAnsi="华文楷体" w:eastAsia="华文楷体"/>
          <w:color w:val="000000"/>
          <w:sz w:val="24"/>
          <w:szCs w:val="24"/>
        </w:rPr>
        <w:fldChar w:fldCharType="end"/>
      </w:r>
      <w:r>
        <w:rPr>
          <w:rFonts w:hint="eastAsia" w:ascii="华文楷体" w:hAnsi="华文楷体" w:eastAsia="华文楷体"/>
          <w:color w:val="000000"/>
          <w:sz w:val="24"/>
          <w:szCs w:val="24"/>
        </w:rPr>
        <w:t>采</w:t>
      </w:r>
      <w:r>
        <w:rPr>
          <w:rFonts w:hint="eastAsia" w:ascii="华文楷体" w:hAnsi="华文楷体" w:eastAsia="华文楷体"/>
          <w:color w:val="auto"/>
          <w:sz w:val="24"/>
          <w:szCs w:val="24"/>
        </w:rPr>
        <w:t>样时间：</w:t>
      </w:r>
      <w:r>
        <w:rPr>
          <w:rFonts w:hint="eastAsia" w:ascii="华文楷体" w:hAnsi="华文楷体" w:eastAsia="华文楷体"/>
          <w:color w:val="auto"/>
          <w:sz w:val="24"/>
          <w:szCs w:val="24"/>
          <w:lang w:eastAsia="zh-CN"/>
        </w:rPr>
        <w:t>202</w:t>
      </w:r>
      <w:r>
        <w:rPr>
          <w:rFonts w:hint="eastAsia" w:ascii="华文楷体" w:hAnsi="华文楷体" w:eastAsia="华文楷体"/>
          <w:color w:val="auto"/>
          <w:sz w:val="24"/>
          <w:szCs w:val="24"/>
          <w:lang w:val="en-US" w:eastAsia="zh-CN"/>
        </w:rPr>
        <w:t>5</w:t>
      </w:r>
      <w:r>
        <w:rPr>
          <w:rFonts w:hint="eastAsia" w:ascii="华文楷体" w:hAnsi="华文楷体" w:eastAsia="华文楷体"/>
          <w:color w:val="auto"/>
          <w:sz w:val="24"/>
          <w:szCs w:val="24"/>
          <w:lang w:eastAsia="zh-CN"/>
        </w:rPr>
        <w:t>年</w:t>
      </w:r>
      <w:r>
        <w:rPr>
          <w:rFonts w:hint="eastAsia" w:ascii="华文楷体" w:hAnsi="华文楷体" w:eastAsia="华文楷体"/>
          <w:color w:val="auto"/>
          <w:sz w:val="24"/>
          <w:szCs w:val="24"/>
          <w:lang w:val="en-US" w:eastAsia="zh-CN"/>
        </w:rPr>
        <w:t>8月18日、2025年8月19日</w:t>
      </w:r>
      <w:bookmarkStart w:id="0" w:name="_GoBack"/>
      <w:bookmarkEnd w:id="0"/>
      <w:r>
        <w:rPr>
          <w:rFonts w:hint="eastAsia" w:ascii="华文楷体" w:hAnsi="华文楷体" w:eastAsia="华文楷体"/>
          <w:color w:val="auto"/>
          <w:sz w:val="24"/>
          <w:szCs w:val="24"/>
        </w:rP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A5"/>
    <w:rsid w:val="000A472F"/>
    <w:rsid w:val="000B7AA5"/>
    <w:rsid w:val="000D4D1A"/>
    <w:rsid w:val="000D6501"/>
    <w:rsid w:val="00115C23"/>
    <w:rsid w:val="00123731"/>
    <w:rsid w:val="00141A9F"/>
    <w:rsid w:val="001554A5"/>
    <w:rsid w:val="00175F0F"/>
    <w:rsid w:val="001A6C88"/>
    <w:rsid w:val="001B346B"/>
    <w:rsid w:val="001C2D56"/>
    <w:rsid w:val="001C3317"/>
    <w:rsid w:val="00201E3B"/>
    <w:rsid w:val="00204664"/>
    <w:rsid w:val="00220BB5"/>
    <w:rsid w:val="0022488A"/>
    <w:rsid w:val="00234699"/>
    <w:rsid w:val="00253F8F"/>
    <w:rsid w:val="002A1EDD"/>
    <w:rsid w:val="002D69A8"/>
    <w:rsid w:val="003012C6"/>
    <w:rsid w:val="00351063"/>
    <w:rsid w:val="00371B15"/>
    <w:rsid w:val="0038727E"/>
    <w:rsid w:val="00396DB7"/>
    <w:rsid w:val="003E7B49"/>
    <w:rsid w:val="003F3BDB"/>
    <w:rsid w:val="003F416C"/>
    <w:rsid w:val="004407A1"/>
    <w:rsid w:val="004544B0"/>
    <w:rsid w:val="00470524"/>
    <w:rsid w:val="004B1356"/>
    <w:rsid w:val="004B6F67"/>
    <w:rsid w:val="00520C77"/>
    <w:rsid w:val="005672F1"/>
    <w:rsid w:val="005A7AD9"/>
    <w:rsid w:val="005E03CE"/>
    <w:rsid w:val="00646777"/>
    <w:rsid w:val="006A7F91"/>
    <w:rsid w:val="006B5524"/>
    <w:rsid w:val="006D0E1E"/>
    <w:rsid w:val="006D4F43"/>
    <w:rsid w:val="00720F30"/>
    <w:rsid w:val="007422E3"/>
    <w:rsid w:val="00744957"/>
    <w:rsid w:val="00762891"/>
    <w:rsid w:val="007832EE"/>
    <w:rsid w:val="00783645"/>
    <w:rsid w:val="007B6A25"/>
    <w:rsid w:val="007D535D"/>
    <w:rsid w:val="008079B2"/>
    <w:rsid w:val="008578C6"/>
    <w:rsid w:val="008A04AE"/>
    <w:rsid w:val="008C49DE"/>
    <w:rsid w:val="00934AFD"/>
    <w:rsid w:val="009440A6"/>
    <w:rsid w:val="0094591C"/>
    <w:rsid w:val="00950492"/>
    <w:rsid w:val="009645A5"/>
    <w:rsid w:val="00973F5F"/>
    <w:rsid w:val="009973C4"/>
    <w:rsid w:val="009C242C"/>
    <w:rsid w:val="009C5230"/>
    <w:rsid w:val="009E1DF2"/>
    <w:rsid w:val="00A22A37"/>
    <w:rsid w:val="00AD53B0"/>
    <w:rsid w:val="00AD775D"/>
    <w:rsid w:val="00AE2F0C"/>
    <w:rsid w:val="00AF70B2"/>
    <w:rsid w:val="00B83FA0"/>
    <w:rsid w:val="00B931E2"/>
    <w:rsid w:val="00BC0069"/>
    <w:rsid w:val="00BF26C8"/>
    <w:rsid w:val="00C52FB3"/>
    <w:rsid w:val="00C7069B"/>
    <w:rsid w:val="00CA596D"/>
    <w:rsid w:val="00D0049D"/>
    <w:rsid w:val="00D533F5"/>
    <w:rsid w:val="00D753BD"/>
    <w:rsid w:val="00DE3F34"/>
    <w:rsid w:val="00E46B6A"/>
    <w:rsid w:val="00E57A1E"/>
    <w:rsid w:val="00E735B1"/>
    <w:rsid w:val="00E8349A"/>
    <w:rsid w:val="00E85584"/>
    <w:rsid w:val="00E9632A"/>
    <w:rsid w:val="00ED423C"/>
    <w:rsid w:val="00EF0B70"/>
    <w:rsid w:val="00F5210C"/>
    <w:rsid w:val="00F6365E"/>
    <w:rsid w:val="174E4953"/>
    <w:rsid w:val="18381785"/>
    <w:rsid w:val="1B406BC5"/>
    <w:rsid w:val="36DE3604"/>
    <w:rsid w:val="3BA06C30"/>
    <w:rsid w:val="3D6D7EF3"/>
    <w:rsid w:val="3FFF6C10"/>
    <w:rsid w:val="521D23C0"/>
    <w:rsid w:val="5396256A"/>
    <w:rsid w:val="5B014F5D"/>
    <w:rsid w:val="5EC7766A"/>
    <w:rsid w:val="61EF736F"/>
    <w:rsid w:val="63D763CC"/>
    <w:rsid w:val="65EE6508"/>
    <w:rsid w:val="6A8F612C"/>
    <w:rsid w:val="72D63BC0"/>
    <w:rsid w:val="7B80291D"/>
    <w:rsid w:val="7D5851DB"/>
    <w:rsid w:val="BD3734B3"/>
    <w:rsid w:val="DFFA6A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locked/>
    <w:uiPriority w:val="99"/>
    <w:rPr>
      <w:rFonts w:cs="Times New Roman"/>
      <w:sz w:val="18"/>
      <w:szCs w:val="18"/>
    </w:rPr>
  </w:style>
  <w:style w:type="character" w:customStyle="1" w:styleId="9">
    <w:name w:val="页脚 Char"/>
    <w:basedOn w:val="7"/>
    <w:link w:val="3"/>
    <w:qFormat/>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mycomputer</Company>
  <Pages>4</Pages>
  <Words>199</Words>
  <Characters>1139</Characters>
  <Lines>9</Lines>
  <Paragraphs>2</Paragraphs>
  <TotalTime>3</TotalTime>
  <ScaleCrop>false</ScaleCrop>
  <LinksUpToDate>false</LinksUpToDate>
  <CharactersWithSpaces>1336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2018-04-18T17:16:00Z</dcterms:created>
  <dc:creator>胡荣华</dc:creator>
  <cp:lastModifiedBy>胡丹丹</cp:lastModifiedBy>
  <cp:lastPrinted>2018-04-20T20:39:00Z</cp:lastPrinted>
  <dcterms:modified xsi:type="dcterms:W3CDTF">2025-10-20T01:35:35Z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995E0214E298448D9098D861DE8AA8D0</vt:lpwstr>
  </property>
</Properties>
</file>