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方正黑体_GBK"/>
          <w:snapToGrid w:val="0"/>
          <w:color w:val="000000"/>
          <w:spacing w:val="-4"/>
          <w:sz w:val="32"/>
          <w:szCs w:val="32"/>
        </w:rPr>
      </w:pPr>
      <w:r>
        <w:rPr>
          <w:rFonts w:hint="eastAsia" w:ascii="黑体" w:hAnsi="宋体" w:eastAsia="黑体" w:cs="方正黑体_GBK"/>
          <w:snapToGrid w:val="0"/>
          <w:color w:val="000000"/>
          <w:spacing w:val="-4"/>
          <w:sz w:val="32"/>
          <w:szCs w:val="32"/>
        </w:rPr>
        <w:t>附件</w:t>
      </w:r>
      <w:bookmarkStart w:id="0" w:name="_GoBack"/>
      <w:bookmarkEnd w:id="0"/>
    </w:p>
    <w:p>
      <w:pPr>
        <w:widowControl/>
        <w:spacing w:line="432" w:lineRule="atLeast"/>
        <w:jc w:val="center"/>
        <w:rPr>
          <w:rFonts w:hint="eastAsia" w:ascii="方正小标宋简体" w:hAnsi="宋体" w:eastAsia="方正小标宋简体"/>
          <w:snapToGrid w:val="0"/>
          <w:color w:val="000000"/>
          <w:spacing w:val="-4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napToGrid w:val="0"/>
          <w:color w:val="000000"/>
          <w:spacing w:val="-4"/>
          <w:sz w:val="36"/>
          <w:szCs w:val="36"/>
        </w:rPr>
        <w:t>政府信息公开情况统计表</w:t>
      </w:r>
    </w:p>
    <w:p>
      <w:pPr>
        <w:widowControl/>
        <w:spacing w:line="320" w:lineRule="exact"/>
        <w:jc w:val="center"/>
        <w:rPr>
          <w:rFonts w:hint="eastAsia" w:ascii="仿宋_GB2312" w:hAnsi="宋体" w:eastAsia="仿宋_GB2312" w:cs="宋体"/>
          <w:snapToGrid w:val="0"/>
          <w:color w:val="000000"/>
          <w:spacing w:val="-4"/>
          <w:sz w:val="24"/>
          <w:szCs w:val="24"/>
        </w:rPr>
      </w:pPr>
      <w:r>
        <w:rPr>
          <w:rFonts w:hint="eastAsia" w:ascii="仿宋_GB2312" w:hAnsi="宋体" w:eastAsia="仿宋_GB2312" w:cs="宋体"/>
          <w:snapToGrid w:val="0"/>
          <w:color w:val="000000"/>
          <w:spacing w:val="-4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snapToGrid w:val="0"/>
          <w:color w:val="000000"/>
          <w:spacing w:val="-4"/>
          <w:sz w:val="24"/>
          <w:szCs w:val="24"/>
          <w:lang w:val="en-US" w:eastAsia="zh-CN"/>
        </w:rPr>
        <w:t>2018</w:t>
      </w:r>
      <w:r>
        <w:rPr>
          <w:rFonts w:hint="eastAsia" w:ascii="仿宋_GB2312" w:hAnsi="宋体" w:eastAsia="仿宋_GB2312" w:cs="方正楷体_GBK"/>
          <w:snapToGrid w:val="0"/>
          <w:color w:val="000000"/>
          <w:spacing w:val="-4"/>
          <w:sz w:val="24"/>
          <w:szCs w:val="24"/>
        </w:rPr>
        <w:t>年度</w:t>
      </w:r>
      <w:r>
        <w:rPr>
          <w:rFonts w:hint="eastAsia" w:ascii="仿宋_GB2312" w:hAnsi="宋体" w:eastAsia="仿宋_GB2312" w:cs="宋体"/>
          <w:snapToGrid w:val="0"/>
          <w:color w:val="000000"/>
          <w:spacing w:val="-4"/>
          <w:sz w:val="24"/>
          <w:szCs w:val="24"/>
        </w:rPr>
        <w:t>）</w:t>
      </w:r>
    </w:p>
    <w:p>
      <w:pPr>
        <w:widowControl/>
        <w:spacing w:line="320" w:lineRule="exact"/>
        <w:jc w:val="center"/>
        <w:rPr>
          <w:rFonts w:hint="eastAsia" w:ascii="仿宋_GB2312" w:hAnsi="宋体" w:eastAsia="仿宋_GB2312" w:cs="宋体"/>
          <w:snapToGrid w:val="0"/>
          <w:color w:val="000000"/>
          <w:spacing w:val="-4"/>
          <w:sz w:val="24"/>
          <w:szCs w:val="24"/>
        </w:rPr>
      </w:pPr>
    </w:p>
    <w:p>
      <w:pPr>
        <w:widowControl/>
        <w:spacing w:line="320" w:lineRule="exact"/>
        <w:jc w:val="left"/>
        <w:rPr>
          <w:rFonts w:hint="eastAsia" w:ascii="仿宋_GB2312" w:hAnsi="宋体" w:eastAsia="仿宋_GB2312" w:cs="方正仿宋_GBK"/>
          <w:snapToGrid w:val="0"/>
          <w:color w:val="000000"/>
          <w:spacing w:val="-4"/>
          <w:sz w:val="24"/>
          <w:szCs w:val="24"/>
          <w:lang w:eastAsia="zh-CN"/>
        </w:rPr>
      </w:pPr>
      <w:r>
        <w:rPr>
          <w:rFonts w:hint="eastAsia" w:ascii="仿宋_GB2312" w:hAnsi="宋体" w:eastAsia="仿宋_GB2312" w:cs="方正仿宋_GBK"/>
          <w:snapToGrid w:val="0"/>
          <w:color w:val="000000"/>
          <w:spacing w:val="-4"/>
          <w:sz w:val="24"/>
          <w:szCs w:val="24"/>
        </w:rPr>
        <w:t>填报单位（盖章）：</w:t>
      </w:r>
      <w:r>
        <w:rPr>
          <w:rFonts w:hint="eastAsia" w:ascii="仿宋_GB2312" w:hAnsi="宋体" w:eastAsia="仿宋_GB2312" w:cs="方正仿宋_GBK"/>
          <w:snapToGrid w:val="0"/>
          <w:color w:val="000000"/>
          <w:spacing w:val="-4"/>
          <w:sz w:val="24"/>
          <w:szCs w:val="24"/>
          <w:lang w:eastAsia="zh-CN"/>
        </w:rPr>
        <w:t>匡堰镇人民政府</w:t>
      </w:r>
    </w:p>
    <w:p>
      <w:pPr>
        <w:widowControl/>
        <w:spacing w:line="320" w:lineRule="exact"/>
        <w:jc w:val="left"/>
        <w:rPr>
          <w:rFonts w:hint="eastAsia" w:ascii="仿宋_GB2312" w:hAnsi="宋体" w:eastAsia="仿宋_GB2312"/>
          <w:snapToGrid w:val="0"/>
          <w:color w:val="000000"/>
          <w:spacing w:val="-4"/>
          <w:sz w:val="24"/>
          <w:szCs w:val="24"/>
        </w:rPr>
      </w:pPr>
    </w:p>
    <w:tbl>
      <w:tblPr>
        <w:tblStyle w:val="2"/>
        <w:tblW w:w="9100" w:type="dxa"/>
        <w:tblInd w:w="-40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8"/>
        <w:gridCol w:w="806"/>
        <w:gridCol w:w="1436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napToGrid w:val="0"/>
                <w:spacing w:val="-4"/>
                <w:sz w:val="24"/>
                <w:szCs w:val="24"/>
              </w:rPr>
              <w:t>统　计　指　标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napToGrid w:val="0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napToGrid w:val="0"/>
                <w:spacing w:val="-4"/>
                <w:sz w:val="24"/>
                <w:szCs w:val="24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64" w:firstLineChars="200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一、主动公开情况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（一）主动公开政府信息数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（不同渠道和方式公开相同信息计1条）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734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其中：主动公开规范性文件数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　　　制发规范性文件总数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（二）通过不同渠道和方式公开政府信息的情况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1．政府公报公开政府信息数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2．政府网站公开政府信息数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117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3．政务微博公开政府信息数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648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4．政务微信公开政府信息数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156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5．其他方式公开政府信息数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64" w:firstLineChars="200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二、回应解读情况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A0A0A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（一）回应公众关注热点或重大舆情数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（不同方式回应同一热点或舆情计1次）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（二）通过不同渠道和方式回应解读的情况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1．参加或举办新闻发布会总次数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其中：主要负责同志参加新闻发布会次数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2．政府网站在线访谈次数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其中：主要负责同志参加政府网站在线访谈次数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3．政策解读稿件发布数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篇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4．微博微信回应事件数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5．其他方式回应事件数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三、依申请公开情况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A0A0A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（一）收到申请数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1．当面申请数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2．传真申请数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3．网络申请数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4．信函申请数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（二）申请办结数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1．按时办结数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2．延期办结数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（三）申请答复数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1．属于已主动公开范围数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2．同意公开答复数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3．同意部分公开答复数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4．不同意公开答复数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其中：涉及国家秘密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　　　涉及商业秘密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　　　涉及个人隐私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　　　危及国家安全、公共安全、经济安全和社会稳定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　　　不是《条例》所指政府信息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　　　法律法规规定的其他情形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5．不属于本行政机关公开数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6．申请信息不存在数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7．告知作出更改补充数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8．告知通过其他途径办理数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四、行政复议数量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（一）维持具体行政行为数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（二）被依法纠错数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（三）其他情形数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五、行政诉讼数量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（一）维持具体行政行为或者驳回原告诉讼请求数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（二）被依法纠错数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（三）其他情形数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六、举报投诉数量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七、依申请公开信息收取的费用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八、机构建设和保障经费情况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（一）政府信息公开工作专门机构数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个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（二）设置政府信息公开查阅点数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个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（三）从事政府信息公开工作人员数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1．专职人员数（不包括政府公报及政府网站工作人员数）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2．兼职人员数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390"/>
              <w:jc w:val="left"/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（四）政府信息公开专项经费（不包括用于政府公报编辑管理及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1044" w:firstLineChars="450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政府网站建设维护等方面的经费）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（一）召开政府信息公开工作会议或专题会议数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（二）举办各类培训班数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（三）接受培训人员数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人次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pacing w:line="320" w:lineRule="exact"/>
        <w:jc w:val="left"/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</w:rPr>
      </w:pPr>
    </w:p>
    <w:p>
      <w:pPr>
        <w:widowControl/>
        <w:spacing w:line="320" w:lineRule="exact"/>
        <w:jc w:val="left"/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</w:rPr>
        <w:t>单位负责人：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  <w:lang w:eastAsia="zh-CN"/>
        </w:rPr>
        <w:t>陈旭伟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</w:rPr>
        <w:t>　　　　　 审核人：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  <w:lang w:eastAsia="zh-CN"/>
        </w:rPr>
        <w:t>胡彭冲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</w:rPr>
        <w:t>　　　　　 填报人：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  <w:lang w:eastAsia="zh-CN"/>
        </w:rPr>
        <w:t>陈铁迪</w:t>
      </w:r>
    </w:p>
    <w:p>
      <w:pPr>
        <w:widowControl/>
        <w:spacing w:line="320" w:lineRule="exact"/>
        <w:jc w:val="left"/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</w:rPr>
        <w:t>联系电话：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  <w:lang w:val="en-US" w:eastAsia="zh-CN"/>
        </w:rPr>
        <w:t>63532403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</w:rPr>
        <w:t>　　　　　　　　　　　　　　　填报日期：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  <w:lang w:val="en-US" w:eastAsia="zh-CN"/>
        </w:rPr>
        <w:t>2019.1.2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C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2019-03-19T00:11:00Z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